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10F10BF5" w:rsidR="00F17F5E" w:rsidRDefault="00F17F5E" w:rsidP="00F17F5E">
      <w:pPr>
        <w:pStyle w:val="3GPPHeader"/>
        <w:spacing w:after="60"/>
      </w:pPr>
      <w:r>
        <w:t>3GPP TSG-RAN WG1 Meeting #</w:t>
      </w:r>
      <w:r w:rsidR="00D53AC8">
        <w:t>1</w:t>
      </w:r>
      <w:r w:rsidR="00315606">
        <w:t>10</w:t>
      </w:r>
      <w:r>
        <w:tab/>
      </w:r>
      <w:r w:rsidR="003869DB" w:rsidRPr="003869DB">
        <w:t>R1-2207570</w:t>
      </w:r>
    </w:p>
    <w:p w14:paraId="492457AB" w14:textId="135C231E" w:rsidR="00B0348E" w:rsidRPr="00CB5CA6" w:rsidRDefault="00315606" w:rsidP="00F17F5E">
      <w:pPr>
        <w:pStyle w:val="3GPPHeader"/>
        <w:spacing w:after="60"/>
      </w:pPr>
      <w:r>
        <w:t>Toulouse</w:t>
      </w:r>
      <w:r w:rsidR="00D53AC8" w:rsidRPr="00D53AC8">
        <w:t>,</w:t>
      </w:r>
      <w:r>
        <w:t xml:space="preserve"> France,</w:t>
      </w:r>
      <w:r w:rsidR="00D53AC8" w:rsidRPr="00D53AC8">
        <w:t xml:space="preserve"> </w:t>
      </w:r>
      <w:r>
        <w:t>August</w:t>
      </w:r>
      <w:r w:rsidR="002618B1" w:rsidRPr="00B75A02">
        <w:t xml:space="preserve"> </w:t>
      </w:r>
      <w:r>
        <w:t>22</w:t>
      </w:r>
      <w:r w:rsidRPr="000621B5">
        <w:rPr>
          <w:vertAlign w:val="superscript"/>
        </w:rPr>
        <w:t>nd</w:t>
      </w:r>
      <w:r w:rsidR="002618B1" w:rsidRPr="00B75A02">
        <w:t xml:space="preserve"> – </w:t>
      </w:r>
      <w:r w:rsidR="002618B1">
        <w:t>2</w:t>
      </w:r>
      <w:r>
        <w:t>6</w:t>
      </w:r>
      <w:r w:rsidR="002618B1">
        <w:rPr>
          <w:vertAlign w:val="superscript"/>
        </w:rPr>
        <w:t>th</w:t>
      </w:r>
      <w:r w:rsidR="002618B1" w:rsidRPr="00B75A02">
        <w:t>, 202</w:t>
      </w:r>
      <w:r w:rsidR="002618B1">
        <w:t>2</w:t>
      </w:r>
    </w:p>
    <w:p w14:paraId="60A5317D" w14:textId="77777777" w:rsidR="00E90E49" w:rsidRPr="00CB5CA6" w:rsidRDefault="00E90E49" w:rsidP="00357380">
      <w:pPr>
        <w:pStyle w:val="3GPPHeader"/>
      </w:pPr>
    </w:p>
    <w:p w14:paraId="3C6869D1" w14:textId="2B0F6188"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E12127">
        <w:rPr>
          <w:sz w:val="22"/>
          <w:szCs w:val="22"/>
          <w:lang w:val="en-US"/>
        </w:rPr>
        <w:t>9</w:t>
      </w:r>
      <w:r w:rsidR="00615904" w:rsidRPr="00500A64">
        <w:rPr>
          <w:sz w:val="22"/>
          <w:szCs w:val="22"/>
          <w:lang w:val="en-US"/>
        </w:rPr>
        <w:t>.</w:t>
      </w:r>
      <w:r w:rsidR="002618B1">
        <w:rPr>
          <w:sz w:val="22"/>
          <w:szCs w:val="22"/>
          <w:lang w:val="en-US"/>
        </w:rPr>
        <w:t>1</w:t>
      </w:r>
      <w:r w:rsidR="00E12127">
        <w:rPr>
          <w:sz w:val="22"/>
          <w:szCs w:val="22"/>
          <w:lang w:val="en-US"/>
        </w:rPr>
        <w:t>2</w:t>
      </w:r>
      <w:r w:rsidR="00615904" w:rsidRPr="00500A64">
        <w:rPr>
          <w:sz w:val="22"/>
          <w:szCs w:val="22"/>
          <w:lang w:val="en-US"/>
        </w:rPr>
        <w:t>.</w:t>
      </w:r>
      <w:r w:rsidR="002E1DA4">
        <w:rPr>
          <w:sz w:val="22"/>
          <w:szCs w:val="22"/>
          <w:lang w:val="en-US"/>
        </w:rPr>
        <w:t>3</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3ED73CC2" w:rsidR="00E90E49" w:rsidRPr="00CE0424" w:rsidRDefault="003D3C45" w:rsidP="00311702">
      <w:pPr>
        <w:pStyle w:val="3GPPHeader"/>
        <w:rPr>
          <w:sz w:val="22"/>
          <w:szCs w:val="22"/>
        </w:rPr>
      </w:pPr>
      <w:r>
        <w:rPr>
          <w:sz w:val="22"/>
          <w:szCs w:val="22"/>
        </w:rPr>
        <w:t>Title:</w:t>
      </w:r>
      <w:r w:rsidR="00E90E49" w:rsidRPr="00CE0424">
        <w:rPr>
          <w:sz w:val="22"/>
          <w:szCs w:val="22"/>
        </w:rPr>
        <w:tab/>
      </w:r>
      <w:r w:rsidR="00C5630B" w:rsidRPr="00C5630B">
        <w:rPr>
          <w:sz w:val="22"/>
          <w:szCs w:val="22"/>
        </w:rPr>
        <w:t xml:space="preserve">On </w:t>
      </w:r>
      <w:r w:rsidR="00E12127" w:rsidRPr="00E12127">
        <w:rPr>
          <w:sz w:val="22"/>
          <w:szCs w:val="22"/>
        </w:rPr>
        <w:t>disabling HARQ feedback for IoT 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7D6ED82" w14:textId="6DB17894" w:rsidR="005918B3" w:rsidRDefault="00956021" w:rsidP="00956021">
      <w:pPr>
        <w:pStyle w:val="BodyText"/>
        <w:rPr>
          <w:rFonts w:ascii="Times New Roman" w:hAnsi="Times New Roman"/>
        </w:rPr>
      </w:pPr>
      <w:r w:rsidRPr="00956021">
        <w:rPr>
          <w:rFonts w:ascii="Times New Roman" w:hAnsi="Times New Roman"/>
        </w:rPr>
        <w:t xml:space="preserve">The </w:t>
      </w:r>
      <w:r w:rsidR="0090011D">
        <w:rPr>
          <w:rFonts w:ascii="Times New Roman" w:hAnsi="Times New Roman"/>
        </w:rPr>
        <w:t>Rel-1</w:t>
      </w:r>
      <w:r w:rsidR="00E12127">
        <w:rPr>
          <w:rFonts w:ascii="Times New Roman" w:hAnsi="Times New Roman"/>
        </w:rPr>
        <w:t>8</w:t>
      </w:r>
      <w:r w:rsidR="0090011D">
        <w:rPr>
          <w:rFonts w:ascii="Times New Roman" w:hAnsi="Times New Roman"/>
        </w:rPr>
        <w:t xml:space="preserve"> </w:t>
      </w:r>
      <w:r w:rsidRPr="00956021">
        <w:rPr>
          <w:rFonts w:ascii="Times New Roman" w:hAnsi="Times New Roman"/>
        </w:rPr>
        <w:t>“</w:t>
      </w:r>
      <w:r w:rsidR="00E12127" w:rsidRPr="00E12127">
        <w:rPr>
          <w:rFonts w:ascii="Times New Roman" w:hAnsi="Times New Roman"/>
        </w:rPr>
        <w:t>WID on IoT NTN enhancements</w:t>
      </w:r>
      <w:r w:rsidRPr="00956021">
        <w:rPr>
          <w:rFonts w:ascii="Times New Roman" w:hAnsi="Times New Roman"/>
        </w:rPr>
        <w:t>” [1</w:t>
      </w:r>
      <w:r w:rsidR="005918B3">
        <w:rPr>
          <w:rFonts w:ascii="Times New Roman" w:hAnsi="Times New Roman"/>
        </w:rPr>
        <w:t xml:space="preserve">] </w:t>
      </w:r>
      <w:r w:rsidR="00AA57B5">
        <w:rPr>
          <w:rFonts w:ascii="Times New Roman" w:hAnsi="Times New Roman"/>
        </w:rPr>
        <w:t>include</w:t>
      </w:r>
      <w:r w:rsidR="00E12127">
        <w:rPr>
          <w:rFonts w:ascii="Times New Roman" w:hAnsi="Times New Roman"/>
        </w:rPr>
        <w:t>s the following objectives touching upon RAN1:</w:t>
      </w:r>
    </w:p>
    <w:tbl>
      <w:tblPr>
        <w:tblStyle w:val="TableGrid"/>
        <w:tblW w:w="0" w:type="auto"/>
        <w:tblLook w:val="04A0" w:firstRow="1" w:lastRow="0" w:firstColumn="1" w:lastColumn="0" w:noHBand="0" w:noVBand="1"/>
      </w:tblPr>
      <w:tblGrid>
        <w:gridCol w:w="9629"/>
      </w:tblGrid>
      <w:tr w:rsidR="00E12127" w14:paraId="738C8BAF" w14:textId="77777777" w:rsidTr="00E12127">
        <w:tc>
          <w:tcPr>
            <w:tcW w:w="9629" w:type="dxa"/>
          </w:tcPr>
          <w:p w14:paraId="188500A8" w14:textId="77777777" w:rsidR="00E12127" w:rsidRPr="00E12127" w:rsidRDefault="00E12127" w:rsidP="00E12127">
            <w:pPr>
              <w:rPr>
                <w:rFonts w:eastAsia="Times New Roman"/>
                <w:sz w:val="16"/>
                <w:szCs w:val="16"/>
                <w:lang w:eastAsia="zh-TW"/>
              </w:rPr>
            </w:pPr>
            <w:r w:rsidRPr="00E12127">
              <w:rPr>
                <w:rFonts w:eastAsia="Times New Roman"/>
                <w:sz w:val="16"/>
                <w:szCs w:val="16"/>
                <w:lang w:eastAsia="zh-TW"/>
              </w:rPr>
              <w:t>4.1.1</w:t>
            </w:r>
            <w:r w:rsidRPr="00E12127">
              <w:rPr>
                <w:rFonts w:eastAsia="Times New Roman"/>
                <w:sz w:val="16"/>
                <w:szCs w:val="16"/>
                <w:lang w:eastAsia="zh-TW"/>
              </w:rPr>
              <w:tab/>
              <w:t>IoT-NTN Performance Enhancements in Rel-18 to address remaining issues from Rel-17</w:t>
            </w:r>
          </w:p>
          <w:p w14:paraId="4176E334" w14:textId="77777777" w:rsidR="00E12127" w:rsidRPr="00E12127" w:rsidRDefault="00E12127" w:rsidP="00E12127">
            <w:pPr>
              <w:rPr>
                <w:rFonts w:eastAsia="Times New Roman"/>
                <w:sz w:val="16"/>
                <w:szCs w:val="16"/>
                <w:lang w:eastAsia="zh-TW"/>
              </w:rPr>
            </w:pPr>
            <w:r w:rsidRPr="00E12127">
              <w:rPr>
                <w:rFonts w:eastAsia="Times New Roman"/>
                <w:sz w:val="16"/>
                <w:szCs w:val="16"/>
                <w:lang w:eastAsia="zh-TW"/>
              </w:rPr>
              <w:t>This work considers Rel-17 IoT-NTN as baseline as well as Rel-17 NR-NTN outcome and the further IoT-NTN performance enhancements objectives are listed below:</w:t>
            </w:r>
          </w:p>
          <w:p w14:paraId="08F7283F" w14:textId="77777777" w:rsidR="00E12127" w:rsidRPr="00E12127" w:rsidRDefault="00E12127" w:rsidP="00E12127">
            <w:pPr>
              <w:ind w:left="568" w:hanging="284"/>
              <w:rPr>
                <w:rFonts w:eastAsia="Times New Roman"/>
                <w:sz w:val="16"/>
                <w:szCs w:val="16"/>
                <w:lang w:eastAsia="zh-TW"/>
              </w:rPr>
            </w:pPr>
            <w:r w:rsidRPr="00E12127">
              <w:rPr>
                <w:rFonts w:eastAsia="Times New Roman"/>
                <w:sz w:val="16"/>
                <w:szCs w:val="16"/>
                <w:lang w:eastAsia="zh-TW"/>
              </w:rPr>
              <w:t>-</w:t>
            </w:r>
            <w:r w:rsidRPr="00E12127">
              <w:rPr>
                <w:rFonts w:eastAsia="Times New Roman"/>
                <w:sz w:val="16"/>
                <w:szCs w:val="16"/>
                <w:lang w:eastAsia="zh-TW"/>
              </w:rPr>
              <w:tab/>
              <w:t>Disabling of HARQ feedback to mitigate impact of HARQ stalling on UE data rates [RAN1,RAN2]</w:t>
            </w:r>
          </w:p>
          <w:p w14:paraId="0CCFB103" w14:textId="77777777" w:rsidR="00E12127" w:rsidRPr="00E12127" w:rsidRDefault="00E12127" w:rsidP="00E12127">
            <w:pPr>
              <w:ind w:left="568" w:hanging="284"/>
              <w:rPr>
                <w:rFonts w:eastAsia="Times New Roman"/>
                <w:sz w:val="16"/>
                <w:szCs w:val="16"/>
                <w:lang w:eastAsia="zh-TW"/>
              </w:rPr>
            </w:pPr>
            <w:r w:rsidRPr="00E12127">
              <w:rPr>
                <w:rFonts w:eastAsia="Times New Roman"/>
                <w:sz w:val="16"/>
                <w:szCs w:val="16"/>
                <w:lang w:eastAsia="zh-TW"/>
              </w:rPr>
              <w:t>-</w:t>
            </w:r>
            <w:r w:rsidRPr="00E12127">
              <w:rPr>
                <w:rFonts w:eastAsia="Times New Roman"/>
                <w:sz w:val="16"/>
                <w:szCs w:val="16"/>
                <w:lang w:eastAsia="zh-TW"/>
              </w:rPr>
              <w:tab/>
              <w:t xml:space="preserve">Study and specify, if needed, improved GNSS operations for a new position fix for UE pre-compensation during long connection times and for reduced power consumption. </w:t>
            </w:r>
            <w:r w:rsidRPr="00E12127">
              <w:rPr>
                <w:rFonts w:eastAsia="Times New Roman"/>
                <w:sz w:val="16"/>
                <w:szCs w:val="16"/>
                <w:lang w:eastAsia="zh-CN"/>
              </w:rPr>
              <w:t>Simultaneous GNSS and NTN NB-IoT/eMTC operation is not assumed.</w:t>
            </w:r>
            <w:r w:rsidRPr="00E12127">
              <w:rPr>
                <w:rFonts w:eastAsia="Times New Roman"/>
                <w:sz w:val="16"/>
                <w:szCs w:val="16"/>
                <w:lang w:eastAsia="zh-TW"/>
              </w:rPr>
              <w:t xml:space="preserve"> [RAN1]</w:t>
            </w:r>
          </w:p>
          <w:p w14:paraId="1D9EE38E" w14:textId="16C67571" w:rsidR="00E12127" w:rsidRDefault="00E12127" w:rsidP="00E12127">
            <w:pPr>
              <w:pStyle w:val="BodyText"/>
              <w:numPr>
                <w:ilvl w:val="0"/>
                <w:numId w:val="29"/>
              </w:numPr>
              <w:rPr>
                <w:rFonts w:ascii="Times New Roman" w:hAnsi="Times New Roman"/>
              </w:rPr>
            </w:pPr>
            <w:r w:rsidRPr="00E12127">
              <w:rPr>
                <w:rFonts w:ascii="Times New Roman" w:eastAsia="Times New Roman" w:hAnsi="Times New Roman"/>
                <w:i/>
                <w:sz w:val="16"/>
                <w:szCs w:val="16"/>
                <w:lang w:val="en-GB" w:eastAsia="zh-TW"/>
              </w:rPr>
              <w:t>NOTE: The need for RAN4 Core requirements for this objective will be identified after the conclusion on the need for improvements.</w:t>
            </w:r>
          </w:p>
        </w:tc>
      </w:tr>
    </w:tbl>
    <w:p w14:paraId="41BF628D" w14:textId="77777777" w:rsidR="00E12127" w:rsidRDefault="00E12127" w:rsidP="00956021">
      <w:pPr>
        <w:pStyle w:val="BodyText"/>
        <w:rPr>
          <w:rFonts w:ascii="Times New Roman" w:hAnsi="Times New Roman"/>
        </w:rPr>
      </w:pPr>
    </w:p>
    <w:p w14:paraId="4124D373" w14:textId="3880C441" w:rsidR="00956021" w:rsidRDefault="005918B3" w:rsidP="00956021">
      <w:pPr>
        <w:pStyle w:val="BodyText"/>
        <w:rPr>
          <w:rFonts w:ascii="Times New Roman" w:hAnsi="Times New Roman"/>
        </w:rPr>
      </w:pPr>
      <w:r>
        <w:rPr>
          <w:rFonts w:ascii="Times New Roman" w:hAnsi="Times New Roman"/>
        </w:rPr>
        <w:t xml:space="preserve">In </w:t>
      </w:r>
      <w:r w:rsidR="003A655F">
        <w:rPr>
          <w:rFonts w:ascii="Times New Roman" w:hAnsi="Times New Roman"/>
        </w:rPr>
        <w:t xml:space="preserve">this contribution we provide our </w:t>
      </w:r>
      <w:r w:rsidR="00AA57B5">
        <w:rPr>
          <w:rFonts w:ascii="Times New Roman" w:hAnsi="Times New Roman"/>
        </w:rPr>
        <w:t xml:space="preserve">views </w:t>
      </w:r>
      <w:r w:rsidR="00590BE2">
        <w:rPr>
          <w:rFonts w:ascii="Times New Roman" w:hAnsi="Times New Roman"/>
        </w:rPr>
        <w:t>on the first sub-bullet related with “</w:t>
      </w:r>
      <w:r w:rsidR="00590BE2" w:rsidRPr="00590BE2">
        <w:rPr>
          <w:rFonts w:ascii="Times New Roman" w:hAnsi="Times New Roman"/>
          <w:i/>
          <w:iCs/>
        </w:rPr>
        <w:t>Disabling of HARQ feedback to mitigate impact of HARQ stalling on UE data rates</w:t>
      </w:r>
      <w:r w:rsidR="00590BE2">
        <w:rPr>
          <w:rFonts w:ascii="Times New Roman" w:hAnsi="Times New Roman"/>
        </w:rPr>
        <w:t>”, for both LTE-MTC and NB-IoT</w:t>
      </w:r>
      <w:r w:rsidR="00CC46CE">
        <w:rPr>
          <w:rFonts w:ascii="Times New Roman" w:hAnsi="Times New Roman"/>
        </w:rPr>
        <w:t>.</w:t>
      </w:r>
    </w:p>
    <w:p w14:paraId="020415C4" w14:textId="4484ABDB" w:rsidR="004000E8" w:rsidRDefault="00230D18" w:rsidP="00CE0424">
      <w:pPr>
        <w:pStyle w:val="Heading1"/>
      </w:pPr>
      <w:bookmarkStart w:id="0" w:name="_Ref178064866"/>
      <w:bookmarkStart w:id="1" w:name="_Hlk528365764"/>
      <w:r>
        <w:t>2</w:t>
      </w:r>
      <w:r>
        <w:tab/>
      </w:r>
      <w:bookmarkEnd w:id="0"/>
      <w:r w:rsidR="003048E2">
        <w:t xml:space="preserve">Overall view on enabling/disabling </w:t>
      </w:r>
      <w:r w:rsidR="00590BE2">
        <w:t>HARQ feedback</w:t>
      </w:r>
      <w:r w:rsidR="00BD5B3D">
        <w:t xml:space="preserve"> for </w:t>
      </w:r>
      <w:r w:rsidR="003048E2">
        <w:t>IoT-NTN</w:t>
      </w:r>
    </w:p>
    <w:bookmarkEnd w:id="1"/>
    <w:p w14:paraId="479C7046" w14:textId="58C7856D" w:rsidR="003048E2" w:rsidRDefault="00C3656A" w:rsidP="00590BE2">
      <w:pPr>
        <w:pStyle w:val="BodyText"/>
        <w:rPr>
          <w:rFonts w:ascii="Times New Roman" w:hAnsi="Times New Roman"/>
          <w:lang w:eastAsia="ja-JP"/>
        </w:rPr>
      </w:pPr>
      <w:r>
        <w:rPr>
          <w:rFonts w:ascii="Times New Roman" w:hAnsi="Times New Roman"/>
          <w:lang w:eastAsia="ja-JP"/>
        </w:rPr>
        <w:t xml:space="preserve">Although the large roundtrip delays </w:t>
      </w:r>
      <w:r w:rsidR="00345AEC" w:rsidRPr="008421A8">
        <w:rPr>
          <w:rFonts w:ascii="Times New Roman" w:hAnsi="Times New Roman"/>
          <w:lang w:eastAsia="ja-JP"/>
        </w:rPr>
        <w:t xml:space="preserve">between UE and </w:t>
      </w:r>
      <w:proofErr w:type="spellStart"/>
      <w:r w:rsidR="00345AEC" w:rsidRPr="008421A8">
        <w:rPr>
          <w:rFonts w:ascii="Times New Roman" w:hAnsi="Times New Roman"/>
          <w:lang w:eastAsia="ja-JP"/>
        </w:rPr>
        <w:t>eN</w:t>
      </w:r>
      <w:r w:rsidR="00E728EF">
        <w:rPr>
          <w:rFonts w:ascii="Times New Roman" w:hAnsi="Times New Roman"/>
          <w:lang w:eastAsia="ja-JP"/>
        </w:rPr>
        <w:t>ode</w:t>
      </w:r>
      <w:r w:rsidR="00345AEC" w:rsidRPr="008421A8">
        <w:rPr>
          <w:rFonts w:ascii="Times New Roman" w:hAnsi="Times New Roman"/>
          <w:lang w:eastAsia="ja-JP"/>
        </w:rPr>
        <w:t>B</w:t>
      </w:r>
      <w:proofErr w:type="spellEnd"/>
      <w:r w:rsidR="00345AEC">
        <w:rPr>
          <w:rFonts w:ascii="Times New Roman" w:hAnsi="Times New Roman"/>
          <w:lang w:eastAsia="ja-JP"/>
        </w:rPr>
        <w:t xml:space="preserve"> </w:t>
      </w:r>
      <w:r>
        <w:rPr>
          <w:rFonts w:ascii="Times New Roman" w:hAnsi="Times New Roman"/>
          <w:lang w:eastAsia="ja-JP"/>
        </w:rPr>
        <w:t>can in principle suggest that</w:t>
      </w:r>
      <w:r w:rsidR="00345AEC">
        <w:rPr>
          <w:rFonts w:ascii="Times New Roman" w:hAnsi="Times New Roman"/>
          <w:lang w:eastAsia="ja-JP"/>
        </w:rPr>
        <w:t xml:space="preserve"> in IoT NTN</w:t>
      </w:r>
      <w:r>
        <w:rPr>
          <w:rFonts w:ascii="Times New Roman" w:hAnsi="Times New Roman"/>
          <w:lang w:eastAsia="ja-JP"/>
        </w:rPr>
        <w:t xml:space="preserve"> the HARQ feedback should be disabled, </w:t>
      </w:r>
      <w:r w:rsidR="007D16E2">
        <w:rPr>
          <w:rFonts w:ascii="Times New Roman" w:hAnsi="Times New Roman"/>
          <w:lang w:eastAsia="ja-JP"/>
        </w:rPr>
        <w:t xml:space="preserve">using </w:t>
      </w:r>
      <w:r>
        <w:rPr>
          <w:rFonts w:ascii="Times New Roman" w:hAnsi="Times New Roman"/>
          <w:lang w:eastAsia="ja-JP"/>
        </w:rPr>
        <w:t xml:space="preserve">existing functionalities embedded into the LTE-MTC and NB-IoT features </w:t>
      </w:r>
      <w:r w:rsidR="007D16E2">
        <w:rPr>
          <w:rFonts w:ascii="Times New Roman" w:hAnsi="Times New Roman"/>
          <w:lang w:eastAsia="ja-JP"/>
        </w:rPr>
        <w:t xml:space="preserve">make </w:t>
      </w:r>
      <w:r>
        <w:rPr>
          <w:rFonts w:ascii="Times New Roman" w:hAnsi="Times New Roman"/>
          <w:lang w:eastAsia="ja-JP"/>
        </w:rPr>
        <w:t>possible obtaining non-negligible data rates (i.e., in the order of hundreds of kbps)</w:t>
      </w:r>
      <w:r w:rsidR="007D16E2">
        <w:rPr>
          <w:rFonts w:ascii="Times New Roman" w:hAnsi="Times New Roman"/>
          <w:lang w:eastAsia="ja-JP"/>
        </w:rPr>
        <w:t xml:space="preserve"> in some scenarios</w:t>
      </w:r>
      <w:r>
        <w:rPr>
          <w:rFonts w:ascii="Times New Roman" w:hAnsi="Times New Roman"/>
          <w:lang w:eastAsia="ja-JP"/>
        </w:rPr>
        <w:t xml:space="preserve"> as shown in [</w:t>
      </w:r>
      <w:r w:rsidR="00703CA9">
        <w:rPr>
          <w:rFonts w:ascii="Times New Roman" w:hAnsi="Times New Roman"/>
          <w:lang w:eastAsia="ja-JP"/>
        </w:rPr>
        <w:t>2</w:t>
      </w:r>
      <w:r>
        <w:rPr>
          <w:rFonts w:ascii="Times New Roman" w:hAnsi="Times New Roman"/>
          <w:lang w:eastAsia="ja-JP"/>
        </w:rPr>
        <w:t>].</w:t>
      </w:r>
    </w:p>
    <w:p w14:paraId="1E868349" w14:textId="33D4EB45" w:rsidR="00211493" w:rsidRPr="00211493" w:rsidRDefault="00BB722B" w:rsidP="00211493">
      <w:pPr>
        <w:pStyle w:val="Observation"/>
        <w:ind w:left="1701" w:hanging="1701"/>
      </w:pPr>
      <w:bookmarkStart w:id="2" w:name="_Toc111112450"/>
      <w:r>
        <w:t xml:space="preserve">Although </w:t>
      </w:r>
      <w:r w:rsidR="00211493" w:rsidRPr="00982033">
        <w:t>disabling HARQ feedback can be beneficial</w:t>
      </w:r>
      <w:r>
        <w:t>, in IoT NTN</w:t>
      </w:r>
      <w:r w:rsidR="00211493" w:rsidRPr="00982033">
        <w:t xml:space="preserve"> there is a variety of scenarios and in some cases keeping HARQ feedback </w:t>
      </w:r>
      <w:r w:rsidR="00982033">
        <w:t xml:space="preserve">enabled </w:t>
      </w:r>
      <w:r w:rsidR="00211493" w:rsidRPr="00982033">
        <w:t>is possible without incurring into the so called “HARQ stalling” issue.</w:t>
      </w:r>
      <w:bookmarkEnd w:id="2"/>
    </w:p>
    <w:p w14:paraId="6A6A6E8A" w14:textId="1C4D8AF1" w:rsidR="00982033" w:rsidRDefault="00982033" w:rsidP="00211493">
      <w:pPr>
        <w:pStyle w:val="Observation"/>
        <w:ind w:left="1701" w:hanging="1701"/>
      </w:pPr>
      <w:bookmarkStart w:id="3" w:name="_Toc111112451"/>
      <w:r>
        <w:t>A</w:t>
      </w:r>
      <w:r w:rsidR="00211493" w:rsidRPr="00982033">
        <w:t>lleviat</w:t>
      </w:r>
      <w:r w:rsidR="0067469A" w:rsidRPr="00982033">
        <w:t>ing</w:t>
      </w:r>
      <w:r w:rsidR="00211493" w:rsidRPr="00982033">
        <w:t xml:space="preserve"> the “HARQ stalling” issue</w:t>
      </w:r>
      <w:r w:rsidR="0067469A" w:rsidRPr="00982033">
        <w:t xml:space="preserve"> through disabling HARQ feedback</w:t>
      </w:r>
      <w:r w:rsidR="00211493" w:rsidRPr="00982033">
        <w:t xml:space="preserve"> </w:t>
      </w:r>
      <w:r w:rsidR="0067469A" w:rsidRPr="00982033">
        <w:t xml:space="preserve">comes </w:t>
      </w:r>
      <w:r w:rsidR="00211493" w:rsidRPr="00982033">
        <w:t>at the cost of compromising reliability,</w:t>
      </w:r>
      <w:r w:rsidR="0067469A" w:rsidRPr="00982033">
        <w:t xml:space="preserve"> </w:t>
      </w:r>
      <w:r w:rsidR="00E728EF">
        <w:t>and not</w:t>
      </w:r>
      <w:r w:rsidRPr="00982033">
        <w:t xml:space="preserve"> all possible </w:t>
      </w:r>
      <w:r>
        <w:t xml:space="preserve">IoT NTN </w:t>
      </w:r>
      <w:r w:rsidRPr="00982033">
        <w:t>scenarios</w:t>
      </w:r>
      <w:r w:rsidR="00E728EF">
        <w:t xml:space="preserve"> need to sacrifice reliability</w:t>
      </w:r>
      <w:r w:rsidRPr="00982033">
        <w:t>.</w:t>
      </w:r>
      <w:bookmarkEnd w:id="3"/>
    </w:p>
    <w:p w14:paraId="74E440FB" w14:textId="6F9F07B2" w:rsidR="00970507" w:rsidRDefault="00982033" w:rsidP="00907D42">
      <w:pPr>
        <w:pStyle w:val="Observation"/>
        <w:ind w:left="1701" w:hanging="1701"/>
      </w:pPr>
      <w:bookmarkStart w:id="4" w:name="_Toc111112452"/>
      <w:r>
        <w:t>T</w:t>
      </w:r>
      <w:r w:rsidR="0067469A" w:rsidRPr="00982033">
        <w:t xml:space="preserve">he IoT NTN technology should have the possibility of disabling/enabling the HARQ feedback </w:t>
      </w:r>
      <w:r w:rsidR="000C524E" w:rsidRPr="00982033">
        <w:t xml:space="preserve">on a per-need basis </w:t>
      </w:r>
      <w:r w:rsidRPr="00982033">
        <w:t xml:space="preserve">to deal with a variety of </w:t>
      </w:r>
      <w:r w:rsidR="004E4661">
        <w:t xml:space="preserve">IoT NTN </w:t>
      </w:r>
      <w:r w:rsidRPr="00982033">
        <w:t>scenarios</w:t>
      </w:r>
      <w:r w:rsidR="0067469A" w:rsidRPr="00982033">
        <w:t>.</w:t>
      </w:r>
      <w:bookmarkEnd w:id="4"/>
    </w:p>
    <w:p w14:paraId="6B1A5741" w14:textId="3F0E08D4" w:rsidR="00907D42" w:rsidRDefault="009F7DE8" w:rsidP="009F7DE8">
      <w:pPr>
        <w:pStyle w:val="Observation"/>
        <w:ind w:left="1701" w:hanging="1701"/>
      </w:pPr>
      <w:bookmarkStart w:id="5" w:name="_Toc111112453"/>
      <w:r>
        <w:t>T</w:t>
      </w:r>
      <w:r w:rsidR="00E728EF">
        <w:t>o keep the HARQ feedback enabled, t</w:t>
      </w:r>
      <w:r>
        <w:t xml:space="preserve">he </w:t>
      </w:r>
      <w:bookmarkStart w:id="6" w:name="_Hlk104367867"/>
      <w:r w:rsidR="00E728EF">
        <w:t xml:space="preserve">Rel-17 </w:t>
      </w:r>
      <w:r w:rsidR="0043442E">
        <w:t>state-of-art</w:t>
      </w:r>
      <w:r w:rsidR="00E728EF">
        <w:t xml:space="preserve"> </w:t>
      </w:r>
      <w:r w:rsidR="0043442E">
        <w:t xml:space="preserve">features for LTE-MTC and NB-IoT can be used </w:t>
      </w:r>
      <w:r w:rsidR="0043442E" w:rsidRPr="009F7DE8">
        <w:rPr>
          <w:u w:val="single"/>
        </w:rPr>
        <w:t>with no further optimization</w:t>
      </w:r>
      <w:r w:rsidR="0043442E">
        <w:t xml:space="preserve"> </w:t>
      </w:r>
      <w:bookmarkEnd w:id="6"/>
      <w:r w:rsidR="0043442E">
        <w:t>to mitigate the HARQ stalling on UE data rates.</w:t>
      </w:r>
      <w:bookmarkEnd w:id="5"/>
    </w:p>
    <w:p w14:paraId="0A686F71" w14:textId="41657D3B" w:rsidR="009F7DE8" w:rsidRPr="0043442E" w:rsidRDefault="009F7DE8" w:rsidP="009F7DE8">
      <w:pPr>
        <w:pStyle w:val="Observation"/>
        <w:ind w:left="1701" w:hanging="1701"/>
      </w:pPr>
      <w:bookmarkStart w:id="7" w:name="_Toc111112454"/>
      <w:r>
        <w:t>In RAN1# 109e, there were agreements for IoT NTN considering both approaches i.e., enabling/disabling HARQ feedback [</w:t>
      </w:r>
      <w:r w:rsidR="00703CA9">
        <w:t>3</w:t>
      </w:r>
      <w:r>
        <w:t>].</w:t>
      </w:r>
      <w:bookmarkEnd w:id="7"/>
    </w:p>
    <w:p w14:paraId="5BFED4DE" w14:textId="33C95A82" w:rsidR="00DE1CC7" w:rsidRDefault="009F7DE8" w:rsidP="00590BE2">
      <w:pPr>
        <w:pStyle w:val="BodyText"/>
        <w:rPr>
          <w:rFonts w:ascii="Times New Roman" w:hAnsi="Times New Roman"/>
          <w:lang w:eastAsia="ja-JP"/>
        </w:rPr>
      </w:pPr>
      <w:r>
        <w:rPr>
          <w:rFonts w:ascii="Times New Roman" w:hAnsi="Times New Roman"/>
          <w:lang w:eastAsia="ja-JP"/>
        </w:rPr>
        <w:lastRenderedPageBreak/>
        <w:t>The agreements reached in</w:t>
      </w:r>
      <w:r w:rsidR="00DE1CC7">
        <w:rPr>
          <w:rFonts w:ascii="Times New Roman" w:hAnsi="Times New Roman"/>
          <w:lang w:eastAsia="ja-JP"/>
        </w:rPr>
        <w:t xml:space="preserve"> RAN1# 109e</w:t>
      </w:r>
      <w:r>
        <w:rPr>
          <w:rFonts w:ascii="Times New Roman" w:hAnsi="Times New Roman"/>
          <w:lang w:eastAsia="ja-JP"/>
        </w:rPr>
        <w:t>,</w:t>
      </w:r>
      <w:r w:rsidR="00DE1CC7">
        <w:rPr>
          <w:rFonts w:ascii="Times New Roman" w:hAnsi="Times New Roman"/>
          <w:lang w:eastAsia="ja-JP"/>
        </w:rPr>
        <w:t xml:space="preserve"> </w:t>
      </w:r>
      <w:r>
        <w:rPr>
          <w:rFonts w:ascii="Times New Roman" w:hAnsi="Times New Roman"/>
          <w:lang w:eastAsia="ja-JP"/>
        </w:rPr>
        <w:t xml:space="preserve">were related to </w:t>
      </w:r>
      <w:r w:rsidR="00DE1CC7">
        <w:rPr>
          <w:rFonts w:ascii="Times New Roman" w:hAnsi="Times New Roman"/>
          <w:lang w:eastAsia="ja-JP"/>
        </w:rPr>
        <w:t>“</w:t>
      </w:r>
      <w:r w:rsidR="00DE1CC7" w:rsidRPr="003048E2">
        <w:rPr>
          <w:rFonts w:ascii="Times New Roman" w:hAnsi="Times New Roman"/>
          <w:i/>
          <w:iCs/>
          <w:lang w:eastAsia="ja-JP"/>
        </w:rPr>
        <w:t>configure/indicate enabling/disabling on HARQ feedback for downlink transmission</w:t>
      </w:r>
      <w:r w:rsidR="00DE1CC7">
        <w:rPr>
          <w:rFonts w:ascii="Times New Roman" w:hAnsi="Times New Roman"/>
          <w:lang w:eastAsia="ja-JP"/>
        </w:rPr>
        <w:t xml:space="preserve">” and </w:t>
      </w:r>
      <w:r w:rsidR="003048E2">
        <w:rPr>
          <w:rFonts w:ascii="Times New Roman" w:hAnsi="Times New Roman"/>
          <w:lang w:eastAsia="ja-JP"/>
        </w:rPr>
        <w:t>to “</w:t>
      </w:r>
      <w:r w:rsidR="003048E2" w:rsidRPr="003048E2">
        <w:rPr>
          <w:rFonts w:ascii="Times New Roman" w:hAnsi="Times New Roman"/>
          <w:i/>
          <w:iCs/>
          <w:lang w:eastAsia="ja-JP"/>
        </w:rPr>
        <w:t>further study the potential issues due to enabling/disabling on HARQ feedback for downlink transmission</w:t>
      </w:r>
      <w:r w:rsidR="003048E2">
        <w:rPr>
          <w:rFonts w:ascii="Times New Roman" w:hAnsi="Times New Roman"/>
          <w:lang w:eastAsia="ja-JP"/>
        </w:rPr>
        <w:t>” [</w:t>
      </w:r>
      <w:r w:rsidR="00703CA9">
        <w:rPr>
          <w:rFonts w:ascii="Times New Roman" w:hAnsi="Times New Roman"/>
          <w:lang w:eastAsia="ja-JP"/>
        </w:rPr>
        <w:t>3</w:t>
      </w:r>
      <w:r w:rsidR="003048E2">
        <w:rPr>
          <w:rFonts w:ascii="Times New Roman" w:hAnsi="Times New Roman"/>
          <w:lang w:eastAsia="ja-JP"/>
        </w:rPr>
        <w:t>], which are discussed in section 3 and 4 respectively.</w:t>
      </w:r>
    </w:p>
    <w:p w14:paraId="53665563" w14:textId="21B60432" w:rsidR="00950592" w:rsidRDefault="00950592" w:rsidP="00950592">
      <w:pPr>
        <w:pStyle w:val="Heading1"/>
      </w:pPr>
      <w:r>
        <w:t>3</w:t>
      </w:r>
      <w:r>
        <w:tab/>
      </w:r>
      <w:r w:rsidR="00345AEC">
        <w:t>Follow-up: “</w:t>
      </w:r>
      <w:r w:rsidR="00345AEC" w:rsidRPr="003048E2">
        <w:rPr>
          <w:rFonts w:ascii="Times New Roman" w:hAnsi="Times New Roman"/>
          <w:i/>
          <w:iCs/>
        </w:rPr>
        <w:t>to configure/indicate enabling/disabling on HARQ feedback for downlink transmission</w:t>
      </w:r>
      <w:r w:rsidR="00345AEC">
        <w:t>”</w:t>
      </w:r>
    </w:p>
    <w:p w14:paraId="7775DEAC" w14:textId="1C0CF49F" w:rsidR="00950592" w:rsidRDefault="00345AEC" w:rsidP="00950592">
      <w:pPr>
        <w:pStyle w:val="BodyText"/>
        <w:rPr>
          <w:rFonts w:ascii="Times New Roman" w:hAnsi="Times New Roman"/>
          <w:lang w:eastAsia="ja-JP"/>
        </w:rPr>
      </w:pPr>
      <w:r>
        <w:rPr>
          <w:rFonts w:ascii="Times New Roman" w:hAnsi="Times New Roman"/>
          <w:lang w:eastAsia="ja-JP"/>
        </w:rPr>
        <w:t>In RAN1# 109-e, the following agreement was reached touching upon “</w:t>
      </w:r>
      <w:r w:rsidRPr="003048E2">
        <w:rPr>
          <w:rFonts w:ascii="Times New Roman" w:hAnsi="Times New Roman"/>
          <w:i/>
          <w:iCs/>
          <w:lang w:eastAsia="ja-JP"/>
        </w:rPr>
        <w:t>to configure/indicate enabling/disabling on HARQ feedback for downlink transmission</w:t>
      </w:r>
      <w:r>
        <w:rPr>
          <w:rFonts w:ascii="Times New Roman" w:hAnsi="Times New Roman"/>
          <w:lang w:eastAsia="ja-JP"/>
        </w:rPr>
        <w: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345AEC" w14:paraId="33A6EF5E" w14:textId="77777777" w:rsidTr="00345AEC">
        <w:tc>
          <w:tcPr>
            <w:tcW w:w="9629" w:type="dxa"/>
          </w:tcPr>
          <w:p w14:paraId="3A043D52" w14:textId="77777777" w:rsidR="00345AEC" w:rsidRPr="00345AEC" w:rsidRDefault="00345AEC" w:rsidP="00345AEC">
            <w:pPr>
              <w:rPr>
                <w:rFonts w:cs="Times"/>
                <w:b/>
                <w:bCs/>
                <w:sz w:val="14"/>
                <w:szCs w:val="12"/>
              </w:rPr>
            </w:pPr>
            <w:r w:rsidRPr="00345AEC">
              <w:rPr>
                <w:rFonts w:cs="Times"/>
                <w:b/>
                <w:bCs/>
                <w:sz w:val="14"/>
                <w:szCs w:val="12"/>
                <w:highlight w:val="green"/>
                <w:lang w:eastAsia="zh-CN"/>
              </w:rPr>
              <w:t>Agreement</w:t>
            </w:r>
          </w:p>
          <w:p w14:paraId="4FB14776" w14:textId="77777777" w:rsidR="00345AEC" w:rsidRPr="00345AEC" w:rsidRDefault="00345AEC" w:rsidP="00345AEC">
            <w:pPr>
              <w:rPr>
                <w:rFonts w:cs="Times"/>
                <w:sz w:val="14"/>
                <w:szCs w:val="12"/>
                <w:lang w:eastAsia="zh-CN"/>
              </w:rPr>
            </w:pPr>
            <w:r w:rsidRPr="00345AEC">
              <w:rPr>
                <w:rFonts w:cs="Times"/>
                <w:color w:val="000000"/>
                <w:sz w:val="14"/>
                <w:szCs w:val="12"/>
                <w:lang w:eastAsia="zh-CN"/>
              </w:rPr>
              <w:t xml:space="preserve">For IoT NTN, to configure/indicate </w:t>
            </w:r>
            <w:r w:rsidRPr="00345AEC">
              <w:rPr>
                <w:rFonts w:cs="Times"/>
                <w:sz w:val="14"/>
                <w:szCs w:val="12"/>
                <w:lang w:eastAsia="zh-CN"/>
              </w:rPr>
              <w:t xml:space="preserve">enabling/disabling on </w:t>
            </w:r>
            <w:r w:rsidRPr="00345AEC">
              <w:rPr>
                <w:rFonts w:cs="Times"/>
                <w:sz w:val="14"/>
                <w:szCs w:val="12"/>
              </w:rPr>
              <w:t xml:space="preserve">HARQ feedback </w:t>
            </w:r>
            <w:r w:rsidRPr="00345AEC">
              <w:rPr>
                <w:rFonts w:cs="Times"/>
                <w:sz w:val="14"/>
                <w:szCs w:val="12"/>
                <w:lang w:eastAsia="zh-CN"/>
              </w:rPr>
              <w:t>for downlink transmission, one or more of the following options can be considered:</w:t>
            </w:r>
          </w:p>
          <w:p w14:paraId="5F0F4E16" w14:textId="77777777" w:rsidR="00345AEC" w:rsidRPr="00345AEC" w:rsidRDefault="00345AEC" w:rsidP="00345AEC">
            <w:pPr>
              <w:pStyle w:val="ListParagraph"/>
              <w:numPr>
                <w:ilvl w:val="0"/>
                <w:numId w:val="36"/>
              </w:numPr>
              <w:overflowPunct/>
              <w:autoSpaceDE/>
              <w:autoSpaceDN/>
              <w:adjustRightInd/>
              <w:ind w:left="720" w:hanging="360"/>
              <w:textAlignment w:val="auto"/>
              <w:rPr>
                <w:rFonts w:eastAsia="MS PGothic" w:cs="Times"/>
                <w:sz w:val="14"/>
                <w:szCs w:val="12"/>
                <w:lang w:val="en-US" w:eastAsia="ja-JP"/>
              </w:rPr>
            </w:pPr>
            <w:r w:rsidRPr="00345AEC">
              <w:rPr>
                <w:rFonts w:eastAsia="MS PGothic" w:cs="Times"/>
                <w:sz w:val="14"/>
                <w:szCs w:val="12"/>
                <w:lang w:val="en-US" w:eastAsia="ja-JP"/>
              </w:rPr>
              <w:t>Option 1: per HARQ process via UE specific RRC signaling</w:t>
            </w:r>
          </w:p>
          <w:p w14:paraId="6933821F" w14:textId="77777777" w:rsidR="00345AEC" w:rsidRPr="00341BBC" w:rsidRDefault="00345AEC" w:rsidP="00345AEC">
            <w:pPr>
              <w:pStyle w:val="ListParagraph"/>
              <w:numPr>
                <w:ilvl w:val="0"/>
                <w:numId w:val="36"/>
              </w:numPr>
              <w:overflowPunct/>
              <w:autoSpaceDE/>
              <w:autoSpaceDN/>
              <w:adjustRightInd/>
              <w:ind w:left="720" w:hanging="360"/>
              <w:textAlignment w:val="auto"/>
              <w:rPr>
                <w:rFonts w:eastAsia="MS PGothic" w:cs="Times"/>
                <w:sz w:val="14"/>
                <w:szCs w:val="12"/>
                <w:lang w:val="sv-SE" w:eastAsia="ja-JP"/>
              </w:rPr>
            </w:pPr>
            <w:r w:rsidRPr="00341BBC">
              <w:rPr>
                <w:rFonts w:eastAsia="MS PGothic" w:cs="Times"/>
                <w:sz w:val="14"/>
                <w:szCs w:val="12"/>
                <w:lang w:val="sv-SE" w:eastAsia="ja-JP"/>
              </w:rPr>
              <w:t>Option 2: per HARQ process via SIB signaling</w:t>
            </w:r>
          </w:p>
          <w:p w14:paraId="7813E12F" w14:textId="77777777" w:rsidR="00345AEC" w:rsidRPr="00345AEC" w:rsidRDefault="00345AEC" w:rsidP="00345AEC">
            <w:pPr>
              <w:pStyle w:val="ListParagraph"/>
              <w:numPr>
                <w:ilvl w:val="0"/>
                <w:numId w:val="36"/>
              </w:numPr>
              <w:overflowPunct/>
              <w:autoSpaceDE/>
              <w:autoSpaceDN/>
              <w:adjustRightInd/>
              <w:ind w:left="720" w:hanging="360"/>
              <w:textAlignment w:val="auto"/>
              <w:rPr>
                <w:rFonts w:eastAsia="MS PGothic" w:cs="Times"/>
                <w:sz w:val="14"/>
                <w:szCs w:val="12"/>
                <w:lang w:val="en-US" w:eastAsia="ja-JP"/>
              </w:rPr>
            </w:pPr>
            <w:r w:rsidRPr="00345AEC">
              <w:rPr>
                <w:rFonts w:eastAsia="MS PGothic" w:cs="Times"/>
                <w:sz w:val="14"/>
                <w:szCs w:val="12"/>
                <w:lang w:val="en-US" w:eastAsia="ja-JP"/>
              </w:rPr>
              <w:t>Option 3: explicitly indicated by DCI (e.g., new field or reusing existing field)</w:t>
            </w:r>
          </w:p>
          <w:p w14:paraId="2DB2C6EE" w14:textId="77777777" w:rsidR="00345AEC" w:rsidRPr="00345AEC" w:rsidRDefault="00345AEC" w:rsidP="00345AEC">
            <w:pPr>
              <w:pStyle w:val="ListParagraph"/>
              <w:numPr>
                <w:ilvl w:val="0"/>
                <w:numId w:val="36"/>
              </w:numPr>
              <w:overflowPunct/>
              <w:autoSpaceDE/>
              <w:autoSpaceDN/>
              <w:adjustRightInd/>
              <w:ind w:left="720" w:hanging="360"/>
              <w:textAlignment w:val="auto"/>
              <w:rPr>
                <w:rFonts w:eastAsia="MS PGothic" w:cs="Times"/>
                <w:sz w:val="14"/>
                <w:szCs w:val="12"/>
                <w:lang w:val="en-US" w:eastAsia="ja-JP"/>
              </w:rPr>
            </w:pPr>
            <w:r w:rsidRPr="00345AEC">
              <w:rPr>
                <w:rFonts w:eastAsia="MS PGothic" w:cs="Times"/>
                <w:sz w:val="14"/>
                <w:szCs w:val="12"/>
                <w:lang w:val="en-US" w:eastAsia="ja-JP"/>
              </w:rPr>
              <w:t>Option 4: implicitly determined by existing configured/indicated parameter(s) (e.g., repetition number, TBS)</w:t>
            </w:r>
          </w:p>
          <w:p w14:paraId="3E865FDE" w14:textId="77777777" w:rsidR="00345AEC" w:rsidRPr="00345AEC" w:rsidRDefault="00345AEC" w:rsidP="00345AEC">
            <w:pPr>
              <w:pStyle w:val="ListParagraph"/>
              <w:numPr>
                <w:ilvl w:val="0"/>
                <w:numId w:val="36"/>
              </w:numPr>
              <w:overflowPunct/>
              <w:autoSpaceDE/>
              <w:autoSpaceDN/>
              <w:adjustRightInd/>
              <w:ind w:left="720" w:hanging="360"/>
              <w:textAlignment w:val="auto"/>
              <w:rPr>
                <w:rFonts w:eastAsia="MS PGothic" w:cs="Times"/>
                <w:sz w:val="14"/>
                <w:szCs w:val="12"/>
                <w:lang w:val="en-US" w:eastAsia="ja-JP"/>
              </w:rPr>
            </w:pPr>
            <w:r w:rsidRPr="00345AEC">
              <w:rPr>
                <w:rFonts w:eastAsia="MS PGothic" w:cs="Times"/>
                <w:sz w:val="14"/>
                <w:szCs w:val="12"/>
                <w:lang w:val="en-US" w:eastAsia="ja-JP"/>
              </w:rPr>
              <w:t>Option 5: per HARQ process via MAC CE</w:t>
            </w:r>
          </w:p>
          <w:p w14:paraId="4418A575" w14:textId="77777777" w:rsidR="00345AEC" w:rsidRPr="00345AEC" w:rsidRDefault="00345AEC" w:rsidP="00345AEC">
            <w:pPr>
              <w:pStyle w:val="ListParagraph"/>
              <w:numPr>
                <w:ilvl w:val="0"/>
                <w:numId w:val="36"/>
              </w:numPr>
              <w:overflowPunct/>
              <w:autoSpaceDE/>
              <w:autoSpaceDN/>
              <w:adjustRightInd/>
              <w:ind w:left="720" w:hanging="360"/>
              <w:textAlignment w:val="auto"/>
              <w:rPr>
                <w:rFonts w:eastAsia="MS PGothic" w:cs="Times"/>
                <w:sz w:val="14"/>
                <w:szCs w:val="12"/>
                <w:lang w:val="en-US" w:eastAsia="ja-JP"/>
              </w:rPr>
            </w:pPr>
            <w:r w:rsidRPr="00345AEC">
              <w:rPr>
                <w:rFonts w:eastAsia="MS PGothic" w:cs="Times"/>
                <w:sz w:val="14"/>
                <w:szCs w:val="12"/>
                <w:lang w:val="en-US" w:eastAsia="ja-JP"/>
              </w:rPr>
              <w:t>Other options or combinations are not excluded</w:t>
            </w:r>
          </w:p>
          <w:p w14:paraId="316CBD4D" w14:textId="16889377" w:rsidR="00345AEC" w:rsidRPr="00345AEC" w:rsidRDefault="00345AEC" w:rsidP="00345AEC">
            <w:pPr>
              <w:rPr>
                <w:rFonts w:cs="Times"/>
                <w:szCs w:val="20"/>
                <w:lang w:eastAsia="zh-CN"/>
              </w:rPr>
            </w:pPr>
            <w:r w:rsidRPr="00345AEC">
              <w:rPr>
                <w:rFonts w:cs="Times"/>
                <w:sz w:val="14"/>
                <w:szCs w:val="12"/>
                <w:lang w:eastAsia="zh-CN"/>
              </w:rPr>
              <w:t>Note: Option(s) for eMTC and NBIoT can be separately discussed.</w:t>
            </w:r>
          </w:p>
        </w:tc>
      </w:tr>
    </w:tbl>
    <w:p w14:paraId="22D3C535" w14:textId="5F5E069B" w:rsidR="00950592" w:rsidRDefault="0051533F" w:rsidP="00345AEC">
      <w:pPr>
        <w:pStyle w:val="BodyText"/>
        <w:spacing w:before="120"/>
        <w:rPr>
          <w:rFonts w:ascii="Times New Roman" w:hAnsi="Times New Roman"/>
          <w:lang w:eastAsia="ja-JP"/>
        </w:rPr>
      </w:pPr>
      <w:r>
        <w:rPr>
          <w:rFonts w:ascii="Times New Roman" w:hAnsi="Times New Roman"/>
          <w:lang w:eastAsia="ja-JP"/>
        </w:rPr>
        <w:t>The agreement above is discussed for LTE-MTC and NB-IoT separately in sections 3.1 and 3.2 respectively.</w:t>
      </w:r>
    </w:p>
    <w:p w14:paraId="5E9CC7EA" w14:textId="3315BA25" w:rsidR="00BE6093" w:rsidRDefault="00BE6093" w:rsidP="00BE6093">
      <w:pPr>
        <w:pStyle w:val="Heading2"/>
      </w:pPr>
      <w:r>
        <w:t>3.1</w:t>
      </w:r>
      <w:r>
        <w:tab/>
        <w:t>LTE-MTC on “</w:t>
      </w:r>
      <w:r w:rsidRPr="003048E2">
        <w:rPr>
          <w:rFonts w:ascii="Times New Roman" w:hAnsi="Times New Roman"/>
          <w:i/>
          <w:iCs/>
        </w:rPr>
        <w:t>to configure/indicate enabling/disabling on HARQ feedback for downlink transmission</w:t>
      </w:r>
      <w:r>
        <w:t>”</w:t>
      </w:r>
    </w:p>
    <w:p w14:paraId="42F30EA1" w14:textId="0065A04E" w:rsidR="00F73FD4" w:rsidRDefault="00F73FD4" w:rsidP="005902A1">
      <w:pPr>
        <w:jc w:val="both"/>
      </w:pPr>
      <w:r>
        <w:t>For</w:t>
      </w:r>
      <w:r w:rsidR="005A1AC2">
        <w:t xml:space="preserve"> LTE-MTC, </w:t>
      </w:r>
      <w:r w:rsidR="00B7079B">
        <w:t>the “</w:t>
      </w:r>
      <w:r w:rsidR="00B7079B" w:rsidRPr="00B7079B">
        <w:rPr>
          <w:i/>
          <w:iCs/>
        </w:rPr>
        <w:t>HARQ process number</w:t>
      </w:r>
      <w:r w:rsidR="00B7079B">
        <w:t xml:space="preserve">” </w:t>
      </w:r>
      <w:r>
        <w:t>is indicated dynamically via DCI Formats 6-1A and 6-1B for CE Mode A and CE Mode B respectively. In Rel-18 for IoT-NTN, it will be natural to indicate</w:t>
      </w:r>
      <w:r w:rsidR="005902A1">
        <w:t xml:space="preserve"> as a complementary information</w:t>
      </w:r>
      <w:r>
        <w:t xml:space="preserve"> whether </w:t>
      </w:r>
      <w:r w:rsidR="005902A1">
        <w:t xml:space="preserve">the </w:t>
      </w:r>
      <w:r>
        <w:t>HARQ feedback is enabled or disabled for such “</w:t>
      </w:r>
      <w:r w:rsidRPr="00B7079B">
        <w:rPr>
          <w:i/>
          <w:iCs/>
        </w:rPr>
        <w:t>HARQ process number</w:t>
      </w:r>
      <w:r>
        <w:t>”.</w:t>
      </w:r>
    </w:p>
    <w:p w14:paraId="4A58003F" w14:textId="77777777" w:rsidR="0039523F" w:rsidRDefault="00A23695" w:rsidP="005902A1">
      <w:pPr>
        <w:jc w:val="both"/>
      </w:pPr>
      <w:r>
        <w:t>E</w:t>
      </w:r>
      <w:r w:rsidR="0027186A">
        <w:t>nabling/</w:t>
      </w:r>
      <w:r>
        <w:t>D</w:t>
      </w:r>
      <w:r w:rsidR="0027186A">
        <w:t xml:space="preserve">isabling HARQ feedback via DCI will be beneficial to adapt faster to changes in the IoT-NTN scenarios. Otherwise, </w:t>
      </w:r>
      <w:r w:rsidR="00490562">
        <w:t xml:space="preserve">using a </w:t>
      </w:r>
      <w:r w:rsidR="0027186A">
        <w:t xml:space="preserve">semi-static </w:t>
      </w:r>
      <w:r w:rsidR="00490562">
        <w:t xml:space="preserve">indication </w:t>
      </w:r>
      <w:r w:rsidR="0027186A">
        <w:t>via RRC signalling</w:t>
      </w:r>
      <w:r w:rsidR="0027186A" w:rsidRPr="0027186A">
        <w:t xml:space="preserve"> </w:t>
      </w:r>
      <w:r w:rsidR="00490562">
        <w:t>will require</w:t>
      </w:r>
      <w:r w:rsidR="0027186A">
        <w:t xml:space="preserve"> performing </w:t>
      </w:r>
      <w:r w:rsidR="00260BF6">
        <w:t xml:space="preserve">first </w:t>
      </w:r>
      <w:r w:rsidR="0027186A">
        <w:t xml:space="preserve">a re-configuration </w:t>
      </w:r>
      <w:r w:rsidR="00490562">
        <w:t>to enabling/disabling HARQ feedback</w:t>
      </w:r>
      <w:r w:rsidR="0027186A">
        <w:t>.</w:t>
      </w:r>
      <w:r>
        <w:t xml:space="preserve"> </w:t>
      </w:r>
    </w:p>
    <w:p w14:paraId="55C3841C" w14:textId="6D0E82FD" w:rsidR="00AA4100" w:rsidRDefault="00A23695" w:rsidP="005902A1">
      <w:pPr>
        <w:jc w:val="both"/>
      </w:pPr>
      <w:r>
        <w:t>Moreover, it has been mentioned that the potential support of SPS for IoT NTN c</w:t>
      </w:r>
      <w:r w:rsidR="0039523F">
        <w:t>ould</w:t>
      </w:r>
      <w:r>
        <w:t xml:space="preserve"> be a reason for not supporting a dynamic indication, however SPS is only available in CE Mode A, in legacy SPS can be overridden at any time by a dynamic scheduling, and if SPS were supported in IoT NTN whether HARQ feedback is enabled or disabled</w:t>
      </w:r>
      <w:r w:rsidR="00B34D94">
        <w:t xml:space="preserve"> could be added as part of its configuration</w:t>
      </w:r>
      <w:r w:rsidR="0039523F">
        <w:t>, th</w:t>
      </w:r>
      <w:r w:rsidR="00727547">
        <w:t>u</w:t>
      </w:r>
      <w:r w:rsidR="0039523F">
        <w:t xml:space="preserve">s SPS does not seem to be a </w:t>
      </w:r>
      <w:r w:rsidR="0039523F" w:rsidRPr="0039523F">
        <w:t>showstopper</w:t>
      </w:r>
      <w:r w:rsidR="0039523F">
        <w:t>.</w:t>
      </w:r>
    </w:p>
    <w:p w14:paraId="57128885" w14:textId="23CE15C3" w:rsidR="00A23695" w:rsidRDefault="00A23695" w:rsidP="00A23695">
      <w:pPr>
        <w:pStyle w:val="Observation"/>
        <w:ind w:left="1701" w:hanging="1701"/>
      </w:pPr>
      <w:bookmarkStart w:id="8" w:name="_Toc111112455"/>
      <w:r>
        <w:t xml:space="preserve">To </w:t>
      </w:r>
      <w:bookmarkStart w:id="9" w:name="_Hlk109730070"/>
      <w:r>
        <w:t>indicate whether HARQ feedback is enabled/disabled</w:t>
      </w:r>
      <w:r w:rsidR="005A06A6" w:rsidRPr="005A06A6">
        <w:t xml:space="preserve"> </w:t>
      </w:r>
      <w:r w:rsidR="005A06A6">
        <w:t>for “LTE-MTC over NTN”</w:t>
      </w:r>
      <w:bookmarkEnd w:id="9"/>
      <w:r>
        <w:t xml:space="preserve">, the following advantages have </w:t>
      </w:r>
      <w:r w:rsidR="005A06A6">
        <w:t xml:space="preserve">been </w:t>
      </w:r>
      <w:r>
        <w:t xml:space="preserve">identified if </w:t>
      </w:r>
      <w:r w:rsidR="000F6A04">
        <w:t>dynamic signalling via DCI is used:</w:t>
      </w:r>
      <w:bookmarkEnd w:id="8"/>
    </w:p>
    <w:p w14:paraId="4D21129D" w14:textId="29E786AC" w:rsidR="000F6A04" w:rsidRDefault="004F694F" w:rsidP="000F6A04">
      <w:pPr>
        <w:pStyle w:val="Observation"/>
        <w:numPr>
          <w:ilvl w:val="0"/>
          <w:numId w:val="37"/>
        </w:numPr>
      </w:pPr>
      <w:bookmarkStart w:id="10" w:name="_Toc111112456"/>
      <w:r>
        <w:t>In legacy, t</w:t>
      </w:r>
      <w:r w:rsidR="000F6A04">
        <w:t>he “</w:t>
      </w:r>
      <w:r w:rsidR="000F6A04" w:rsidRPr="00B7079B">
        <w:rPr>
          <w:i/>
          <w:iCs/>
        </w:rPr>
        <w:t>HARQ process number</w:t>
      </w:r>
      <w:r w:rsidR="000F6A04">
        <w:t xml:space="preserve">” is indicated via DCI in both CE Mode A and B, </w:t>
      </w:r>
      <w:r w:rsidR="005A06A6">
        <w:t xml:space="preserve">thus </w:t>
      </w:r>
      <w:r w:rsidR="000F6A04">
        <w:t>as complementary information it can be indicate</w:t>
      </w:r>
      <w:r>
        <w:t>d</w:t>
      </w:r>
      <w:r w:rsidR="000F6A04">
        <w:t xml:space="preserve"> whether </w:t>
      </w:r>
      <w:r w:rsidR="005A06A6">
        <w:t>such</w:t>
      </w:r>
      <w:r w:rsidR="000F6A04">
        <w:t xml:space="preserve"> </w:t>
      </w:r>
      <w:r w:rsidR="005A06A6">
        <w:t>“</w:t>
      </w:r>
      <w:r w:rsidR="005A06A6" w:rsidRPr="00B7079B">
        <w:rPr>
          <w:i/>
          <w:iCs/>
        </w:rPr>
        <w:t>HARQ process number</w:t>
      </w:r>
      <w:r w:rsidR="005A06A6">
        <w:t xml:space="preserve">” </w:t>
      </w:r>
      <w:r w:rsidR="000F6A04">
        <w:t>will</w:t>
      </w:r>
      <w:r>
        <w:t xml:space="preserve"> use HARQ feedback enabled/disabled.</w:t>
      </w:r>
      <w:bookmarkEnd w:id="10"/>
    </w:p>
    <w:p w14:paraId="748F2738" w14:textId="7AD6334B" w:rsidR="00A23695" w:rsidRDefault="000A5300" w:rsidP="0039523F">
      <w:pPr>
        <w:pStyle w:val="Observation"/>
        <w:numPr>
          <w:ilvl w:val="0"/>
          <w:numId w:val="37"/>
        </w:numPr>
      </w:pPr>
      <w:bookmarkStart w:id="11" w:name="_Toc111112457"/>
      <w:r>
        <w:t xml:space="preserve">Dynamic signalling will allow </w:t>
      </w:r>
      <w:r w:rsidRPr="004F694F">
        <w:t>adapt</w:t>
      </w:r>
      <w:r>
        <w:t>ing</w:t>
      </w:r>
      <w:r w:rsidRPr="004F694F">
        <w:t xml:space="preserve"> faster to changes</w:t>
      </w:r>
      <w:r>
        <w:t>/variations</w:t>
      </w:r>
      <w:r w:rsidRPr="004F694F">
        <w:t xml:space="preserve"> in the IoT-NTN scenarios. Otherwise</w:t>
      </w:r>
      <w:r w:rsidR="00BC389E">
        <w:t>, e.g.,</w:t>
      </w:r>
      <w:r>
        <w:t xml:space="preserve"> with RRC signalling</w:t>
      </w:r>
      <w:r w:rsidR="002460F1">
        <w:t>,</w:t>
      </w:r>
      <w:r w:rsidRPr="004F694F">
        <w:t xml:space="preserve"> </w:t>
      </w:r>
      <w:r>
        <w:t xml:space="preserve">it will be required performing first </w:t>
      </w:r>
      <w:r w:rsidRPr="004F694F">
        <w:t>a re-configuration to enabling/disabling HARQ feedback</w:t>
      </w:r>
      <w:r>
        <w:t xml:space="preserve"> before being able to act</w:t>
      </w:r>
      <w:r w:rsidR="006769C5">
        <w:t xml:space="preserve"> on the scenario’s needs</w:t>
      </w:r>
      <w:r w:rsidR="005A06A6">
        <w:t>.</w:t>
      </w:r>
      <w:bookmarkEnd w:id="11"/>
    </w:p>
    <w:p w14:paraId="7930F6AA" w14:textId="523E157A" w:rsidR="00A23695" w:rsidRDefault="00727547" w:rsidP="00A23695">
      <w:pPr>
        <w:pStyle w:val="Proposal"/>
      </w:pPr>
      <w:bookmarkStart w:id="12" w:name="_Toc111112522"/>
      <w:r>
        <w:t xml:space="preserve">For </w:t>
      </w:r>
      <w:r w:rsidR="005A06A6">
        <w:t>“</w:t>
      </w:r>
      <w:r>
        <w:t xml:space="preserve">LTE-MTC </w:t>
      </w:r>
      <w:r w:rsidR="005A06A6">
        <w:t xml:space="preserve">over </w:t>
      </w:r>
      <w:r>
        <w:t>NTN</w:t>
      </w:r>
      <w:r w:rsidR="005A06A6">
        <w:t>”</w:t>
      </w:r>
      <w:r>
        <w:t xml:space="preserve"> t</w:t>
      </w:r>
      <w:r w:rsidRPr="00727547">
        <w:t>o configure/indicate enabling/disabling on HARQ feedback for downlink transmission</w:t>
      </w:r>
      <w:r w:rsidR="005C02BA">
        <w:t>,</w:t>
      </w:r>
      <w:r>
        <w:t xml:space="preserve"> RAN1 down</w:t>
      </w:r>
      <w:r w:rsidR="008E6BB9">
        <w:t>-</w:t>
      </w:r>
      <w:r>
        <w:t xml:space="preserve">selects between </w:t>
      </w:r>
      <w:r w:rsidR="008E6BB9">
        <w:t>“</w:t>
      </w:r>
      <w:r>
        <w:t>Option 1 (i.e., semi-static signalling via RRC)</w:t>
      </w:r>
      <w:r w:rsidR="008E6BB9">
        <w:t>”</w:t>
      </w:r>
      <w:r>
        <w:t xml:space="preserve"> and </w:t>
      </w:r>
      <w:r w:rsidR="008E6BB9">
        <w:t>“</w:t>
      </w:r>
      <w:r>
        <w:t>Option 3 (i.e., dynamic signalling</w:t>
      </w:r>
      <w:r w:rsidR="008E6BB9">
        <w:t xml:space="preserve"> via DCI</w:t>
      </w:r>
      <w:r>
        <w:t>)</w:t>
      </w:r>
      <w:r w:rsidR="008E6BB9">
        <w:t>”</w:t>
      </w:r>
      <w:r>
        <w:t>, FFS details.</w:t>
      </w:r>
      <w:bookmarkEnd w:id="12"/>
    </w:p>
    <w:p w14:paraId="25CF3C37" w14:textId="260D8495" w:rsidR="00BE6093" w:rsidRDefault="00BE6093" w:rsidP="00BE6093">
      <w:pPr>
        <w:pStyle w:val="Heading2"/>
      </w:pPr>
      <w:r>
        <w:lastRenderedPageBreak/>
        <w:t>3.2</w:t>
      </w:r>
      <w:r>
        <w:tab/>
        <w:t>NB-IoT on “</w:t>
      </w:r>
      <w:r w:rsidRPr="003048E2">
        <w:rPr>
          <w:rFonts w:ascii="Times New Roman" w:hAnsi="Times New Roman"/>
          <w:i/>
          <w:iCs/>
        </w:rPr>
        <w:t>to configure/indicate enabling/disabling on HARQ feedback for downlink transmission</w:t>
      </w:r>
      <w:r>
        <w:t>”</w:t>
      </w:r>
    </w:p>
    <w:p w14:paraId="43B7A95D" w14:textId="0B4127A6" w:rsidR="00BE6093" w:rsidRDefault="004E3E86" w:rsidP="00791AED">
      <w:pPr>
        <w:jc w:val="both"/>
      </w:pPr>
      <w:r>
        <w:t>For NB-IoT, there are up to two HARQ processes available and similarly to LTE-MTC the “</w:t>
      </w:r>
      <w:r w:rsidRPr="00B7079B">
        <w:rPr>
          <w:i/>
          <w:iCs/>
        </w:rPr>
        <w:t>HARQ process number</w:t>
      </w:r>
      <w:r>
        <w:t>” is indicated dynamically via DCI Format N1. Thus</w:t>
      </w:r>
      <w:r w:rsidR="00170B46">
        <w:t xml:space="preserve"> overall, the same advantages identified in section 3.1 on the us</w:t>
      </w:r>
      <w:r w:rsidR="00F200AB">
        <w:t>ag</w:t>
      </w:r>
      <w:r w:rsidR="00170B46">
        <w:t>e of dynamic signalling (i.e., DCI) also hold for NB-IoT.</w:t>
      </w:r>
    </w:p>
    <w:p w14:paraId="6C302FE6" w14:textId="3FC37BD1" w:rsidR="004E3E86" w:rsidRDefault="004E3E86" w:rsidP="004E3E86">
      <w:pPr>
        <w:pStyle w:val="Observation"/>
        <w:ind w:left="1701" w:hanging="1701"/>
      </w:pPr>
      <w:bookmarkStart w:id="13" w:name="_Toc111112458"/>
      <w:r>
        <w:t>To indicate whether HARQ feedback is enabled/disabled</w:t>
      </w:r>
      <w:r w:rsidR="005A06A6">
        <w:t xml:space="preserve"> for “NB-IoT over NTN”</w:t>
      </w:r>
      <w:r>
        <w:t xml:space="preserve">, the following advantages have </w:t>
      </w:r>
      <w:r w:rsidR="005A06A6">
        <w:t xml:space="preserve">been </w:t>
      </w:r>
      <w:r>
        <w:t>identified if dynamic signalling via DCI is used:</w:t>
      </w:r>
      <w:bookmarkEnd w:id="13"/>
    </w:p>
    <w:p w14:paraId="0FAA8477" w14:textId="4E83EAA8" w:rsidR="004E3E86" w:rsidRDefault="004E3E86" w:rsidP="004E3E86">
      <w:pPr>
        <w:pStyle w:val="Observation"/>
        <w:numPr>
          <w:ilvl w:val="0"/>
          <w:numId w:val="37"/>
        </w:numPr>
      </w:pPr>
      <w:bookmarkStart w:id="14" w:name="_Toc111112459"/>
      <w:r>
        <w:t>In legacy, the “</w:t>
      </w:r>
      <w:r w:rsidRPr="00B7079B">
        <w:rPr>
          <w:i/>
          <w:iCs/>
        </w:rPr>
        <w:t>HARQ process number</w:t>
      </w:r>
      <w:r>
        <w:t xml:space="preserve">” is indicated via DCI </w:t>
      </w:r>
      <w:r w:rsidR="00170B46">
        <w:t>Format N1</w:t>
      </w:r>
      <w:r>
        <w:t xml:space="preserve">, </w:t>
      </w:r>
      <w:r w:rsidR="005A06A6">
        <w:t xml:space="preserve">thus </w:t>
      </w:r>
      <w:r>
        <w:t xml:space="preserve">as complementary information it can be indicated whether </w:t>
      </w:r>
      <w:r w:rsidR="005A06A6">
        <w:t>such “</w:t>
      </w:r>
      <w:r w:rsidR="005A06A6" w:rsidRPr="00B7079B">
        <w:rPr>
          <w:i/>
          <w:iCs/>
        </w:rPr>
        <w:t>HARQ process number</w:t>
      </w:r>
      <w:r w:rsidR="005A06A6">
        <w:t>”</w:t>
      </w:r>
      <w:r>
        <w:t xml:space="preserve"> will use HARQ feedback enabled/disabled.</w:t>
      </w:r>
      <w:bookmarkEnd w:id="14"/>
    </w:p>
    <w:p w14:paraId="1BA89117" w14:textId="1DC071B0" w:rsidR="004E3E86" w:rsidRDefault="000A5300" w:rsidP="004E3E86">
      <w:pPr>
        <w:pStyle w:val="Observation"/>
        <w:numPr>
          <w:ilvl w:val="0"/>
          <w:numId w:val="37"/>
        </w:numPr>
      </w:pPr>
      <w:bookmarkStart w:id="15" w:name="_Toc111112460"/>
      <w:r>
        <w:t>D</w:t>
      </w:r>
      <w:r w:rsidR="004E3E86">
        <w:t xml:space="preserve">ynamic signalling will </w:t>
      </w:r>
      <w:r>
        <w:t>allow</w:t>
      </w:r>
      <w:r w:rsidR="004E3E86">
        <w:t xml:space="preserve"> </w:t>
      </w:r>
      <w:r w:rsidR="004E3E86" w:rsidRPr="004F694F">
        <w:t>adapt</w:t>
      </w:r>
      <w:r w:rsidR="009B53C4">
        <w:t>ing</w:t>
      </w:r>
      <w:r w:rsidR="004E3E86" w:rsidRPr="004F694F">
        <w:t xml:space="preserve"> faster to changes</w:t>
      </w:r>
      <w:r>
        <w:t>/variations</w:t>
      </w:r>
      <w:r w:rsidR="004E3E86" w:rsidRPr="004F694F">
        <w:t xml:space="preserve"> in the IoT-NTN scenarios. Otherwise</w:t>
      </w:r>
      <w:r w:rsidR="002460F1">
        <w:t>,</w:t>
      </w:r>
      <w:r w:rsidR="004E3E86">
        <w:t xml:space="preserve"> e.</w:t>
      </w:r>
      <w:r w:rsidR="002460F1">
        <w:t>g.</w:t>
      </w:r>
      <w:r w:rsidR="004E3E86">
        <w:t>, with RRC signalling</w:t>
      </w:r>
      <w:r w:rsidR="002460F1">
        <w:t xml:space="preserve">, it </w:t>
      </w:r>
      <w:r w:rsidR="00B80A6F">
        <w:t>will be required</w:t>
      </w:r>
      <w:r>
        <w:t xml:space="preserve"> </w:t>
      </w:r>
      <w:r w:rsidR="004E3E86">
        <w:t>perform</w:t>
      </w:r>
      <w:r>
        <w:t>ing</w:t>
      </w:r>
      <w:r w:rsidR="004E3E86">
        <w:t xml:space="preserve"> first </w:t>
      </w:r>
      <w:r w:rsidR="004E3E86" w:rsidRPr="004F694F">
        <w:t>a re-configuration to enabling/disabling HARQ feedback</w:t>
      </w:r>
      <w:r w:rsidR="00B80A6F">
        <w:t xml:space="preserve"> </w:t>
      </w:r>
      <w:r w:rsidR="005A06A6">
        <w:t>before being able to act</w:t>
      </w:r>
      <w:r w:rsidR="002460F1">
        <w:t xml:space="preserve"> on the scenario’s needs</w:t>
      </w:r>
      <w:r w:rsidR="005A06A6">
        <w:t>.</w:t>
      </w:r>
      <w:bookmarkEnd w:id="15"/>
    </w:p>
    <w:p w14:paraId="6B45B4A6" w14:textId="294E9AD1" w:rsidR="004E3E86" w:rsidRPr="00BE6093" w:rsidRDefault="004E3E86" w:rsidP="00BE6093">
      <w:pPr>
        <w:pStyle w:val="Proposal"/>
      </w:pPr>
      <w:bookmarkStart w:id="16" w:name="_Toc111112523"/>
      <w:r>
        <w:t xml:space="preserve">For </w:t>
      </w:r>
      <w:r w:rsidR="005A06A6">
        <w:t>“NB-IoT over</w:t>
      </w:r>
      <w:r>
        <w:t xml:space="preserve"> NTN</w:t>
      </w:r>
      <w:r w:rsidR="005A06A6">
        <w:t>”</w:t>
      </w:r>
      <w:r>
        <w:t xml:space="preserve"> t</w:t>
      </w:r>
      <w:r w:rsidRPr="00727547">
        <w:t>o configure/indicate enabling/disabling on HARQ feedback for downlink transmission</w:t>
      </w:r>
      <w:r w:rsidR="005C02BA">
        <w:t>,</w:t>
      </w:r>
      <w:r>
        <w:t xml:space="preserve"> RAN1 down-selects between “Option 1 (i.e., semi-static signalling via RRC)” and “Option 3 (i.e., dynamic signalling via DCI)”, FFS details.</w:t>
      </w:r>
      <w:bookmarkEnd w:id="16"/>
    </w:p>
    <w:p w14:paraId="314134D5" w14:textId="627C2DDD" w:rsidR="00950592" w:rsidRDefault="00950592" w:rsidP="00950592">
      <w:pPr>
        <w:pStyle w:val="Heading1"/>
      </w:pPr>
      <w:r>
        <w:t>4</w:t>
      </w:r>
      <w:r>
        <w:tab/>
      </w:r>
      <w:r w:rsidR="00345AEC">
        <w:t>Follow-up: “</w:t>
      </w:r>
      <w:r w:rsidR="00345AEC">
        <w:rPr>
          <w:rFonts w:ascii="Times New Roman" w:hAnsi="Times New Roman"/>
          <w:i/>
          <w:iCs/>
        </w:rPr>
        <w:t>to f</w:t>
      </w:r>
      <w:r w:rsidR="00345AEC" w:rsidRPr="003048E2">
        <w:rPr>
          <w:rFonts w:ascii="Times New Roman" w:hAnsi="Times New Roman"/>
          <w:i/>
          <w:iCs/>
        </w:rPr>
        <w:t>urther study the potential issues due to enabling/disabling on HARQ feedback for downlink transmission</w:t>
      </w:r>
      <w:r w:rsidR="00345AEC">
        <w:t>”</w:t>
      </w:r>
    </w:p>
    <w:p w14:paraId="40ECA3E6" w14:textId="559C98C8" w:rsidR="00755682" w:rsidRDefault="00755682" w:rsidP="00755682">
      <w:pPr>
        <w:pStyle w:val="BodyText"/>
        <w:rPr>
          <w:rFonts w:ascii="Times New Roman" w:hAnsi="Times New Roman"/>
          <w:lang w:eastAsia="ja-JP"/>
        </w:rPr>
      </w:pPr>
      <w:r>
        <w:rPr>
          <w:rFonts w:ascii="Times New Roman" w:hAnsi="Times New Roman"/>
          <w:lang w:eastAsia="ja-JP"/>
        </w:rPr>
        <w:t>In RAN1# 109-e, the following agreement was reached touching upon to “</w:t>
      </w:r>
      <w:r w:rsidRPr="003048E2">
        <w:rPr>
          <w:rFonts w:ascii="Times New Roman" w:hAnsi="Times New Roman"/>
          <w:i/>
          <w:iCs/>
          <w:lang w:eastAsia="ja-JP"/>
        </w:rPr>
        <w:t>further study the potential issues due to enabling/disabling on HARQ feedback for downlink transmission</w:t>
      </w:r>
      <w:r>
        <w:rPr>
          <w:rFonts w:ascii="Times New Roman" w:hAnsi="Times New Roman"/>
          <w:lang w:eastAsia="ja-JP"/>
        </w:rPr>
        <w: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755682" w14:paraId="6365BE95" w14:textId="77777777" w:rsidTr="006A30F5">
        <w:tc>
          <w:tcPr>
            <w:tcW w:w="9629" w:type="dxa"/>
          </w:tcPr>
          <w:p w14:paraId="31E6167D" w14:textId="77777777" w:rsidR="00755682" w:rsidRPr="00755682" w:rsidRDefault="00755682" w:rsidP="00755682">
            <w:pPr>
              <w:rPr>
                <w:rFonts w:cs="Times"/>
                <w:b/>
                <w:sz w:val="14"/>
                <w:szCs w:val="12"/>
              </w:rPr>
            </w:pPr>
            <w:r w:rsidRPr="00755682">
              <w:rPr>
                <w:rFonts w:cs="Times"/>
                <w:b/>
                <w:color w:val="000000"/>
                <w:sz w:val="14"/>
                <w:szCs w:val="12"/>
                <w:highlight w:val="green"/>
                <w:lang w:eastAsia="zh-CN"/>
              </w:rPr>
              <w:t>Agreement</w:t>
            </w:r>
          </w:p>
          <w:p w14:paraId="62F9962B" w14:textId="77777777" w:rsidR="00755682" w:rsidRPr="00755682" w:rsidRDefault="00755682" w:rsidP="00755682">
            <w:pPr>
              <w:rPr>
                <w:rFonts w:cs="Times"/>
                <w:color w:val="000000"/>
                <w:sz w:val="14"/>
                <w:szCs w:val="12"/>
                <w:lang w:eastAsia="zh-CN"/>
              </w:rPr>
            </w:pPr>
            <w:r w:rsidRPr="00755682">
              <w:rPr>
                <w:rFonts w:cs="Times"/>
                <w:color w:val="000000"/>
                <w:sz w:val="14"/>
                <w:szCs w:val="12"/>
                <w:lang w:eastAsia="zh-CN"/>
              </w:rPr>
              <w:t xml:space="preserve">For IoT NTN, further study the </w:t>
            </w:r>
            <w:bookmarkStart w:id="17" w:name="_Hlk104287979"/>
            <w:r w:rsidRPr="00755682">
              <w:rPr>
                <w:rFonts w:cs="Times"/>
                <w:color w:val="000000"/>
                <w:sz w:val="14"/>
                <w:szCs w:val="12"/>
                <w:lang w:eastAsia="zh-CN"/>
              </w:rPr>
              <w:t>potential issues due to enabling/disabling on HARQ feedback for downlink transmission</w:t>
            </w:r>
            <w:bookmarkEnd w:id="17"/>
          </w:p>
          <w:p w14:paraId="1C02EAE1" w14:textId="77777777" w:rsidR="00755682" w:rsidRPr="00755682" w:rsidRDefault="00755682" w:rsidP="00755682">
            <w:pPr>
              <w:pStyle w:val="ListParagraph"/>
              <w:numPr>
                <w:ilvl w:val="0"/>
                <w:numId w:val="36"/>
              </w:numPr>
              <w:overflowPunct/>
              <w:autoSpaceDE/>
              <w:autoSpaceDN/>
              <w:adjustRightInd/>
              <w:ind w:left="720" w:hanging="360"/>
              <w:textAlignment w:val="auto"/>
              <w:rPr>
                <w:rFonts w:eastAsia="MS PGothic" w:cs="Times"/>
                <w:sz w:val="14"/>
                <w:szCs w:val="12"/>
                <w:lang w:val="en-US" w:eastAsia="ja-JP"/>
              </w:rPr>
            </w:pPr>
            <w:r w:rsidRPr="00755682">
              <w:rPr>
                <w:rFonts w:eastAsia="MS PGothic" w:cs="Times"/>
                <w:sz w:val="14"/>
                <w:szCs w:val="12"/>
                <w:lang w:val="en-US" w:eastAsia="ja-JP"/>
              </w:rPr>
              <w:t>Issue A: SPS PDSCH</w:t>
            </w:r>
          </w:p>
          <w:p w14:paraId="36F98BDC" w14:textId="77777777" w:rsidR="00755682" w:rsidRPr="00755682" w:rsidRDefault="00755682" w:rsidP="00755682">
            <w:pPr>
              <w:pStyle w:val="ListParagraph"/>
              <w:numPr>
                <w:ilvl w:val="0"/>
                <w:numId w:val="36"/>
              </w:numPr>
              <w:overflowPunct/>
              <w:autoSpaceDE/>
              <w:autoSpaceDN/>
              <w:adjustRightInd/>
              <w:ind w:left="720" w:hanging="360"/>
              <w:textAlignment w:val="auto"/>
              <w:rPr>
                <w:rFonts w:eastAsia="MS PGothic" w:cs="Times"/>
                <w:sz w:val="14"/>
                <w:szCs w:val="12"/>
                <w:lang w:val="en-US" w:eastAsia="ja-JP"/>
              </w:rPr>
            </w:pPr>
            <w:r w:rsidRPr="00755682">
              <w:rPr>
                <w:rFonts w:eastAsia="MS PGothic" w:cs="Times"/>
                <w:sz w:val="14"/>
                <w:szCs w:val="12"/>
                <w:lang w:val="en-US" w:eastAsia="ja-JP"/>
              </w:rPr>
              <w:t>Issue B: (N)PDSCH/(N)PDCCH scheduling restriction</w:t>
            </w:r>
          </w:p>
          <w:p w14:paraId="1E7753C3" w14:textId="77777777" w:rsidR="00755682" w:rsidRPr="00755682" w:rsidRDefault="00755682" w:rsidP="00755682">
            <w:pPr>
              <w:pStyle w:val="ListParagraph"/>
              <w:numPr>
                <w:ilvl w:val="0"/>
                <w:numId w:val="36"/>
              </w:numPr>
              <w:overflowPunct/>
              <w:autoSpaceDE/>
              <w:autoSpaceDN/>
              <w:adjustRightInd/>
              <w:ind w:left="720" w:hanging="360"/>
              <w:textAlignment w:val="auto"/>
              <w:rPr>
                <w:rFonts w:eastAsia="MS PGothic" w:cs="Times"/>
                <w:sz w:val="14"/>
                <w:szCs w:val="12"/>
                <w:lang w:val="en-US" w:eastAsia="ja-JP"/>
              </w:rPr>
            </w:pPr>
            <w:r w:rsidRPr="00755682">
              <w:rPr>
                <w:rFonts w:eastAsia="MS PGothic" w:cs="Times"/>
                <w:sz w:val="14"/>
                <w:szCs w:val="12"/>
                <w:lang w:val="en-US" w:eastAsia="ja-JP"/>
              </w:rPr>
              <w:t>Issue C: HARQ feedback for scheduling multiple TB</w:t>
            </w:r>
          </w:p>
          <w:p w14:paraId="62D51556" w14:textId="77777777" w:rsidR="00755682" w:rsidRPr="00755682" w:rsidRDefault="00755682" w:rsidP="00755682">
            <w:pPr>
              <w:pStyle w:val="ListParagraph"/>
              <w:numPr>
                <w:ilvl w:val="0"/>
                <w:numId w:val="36"/>
              </w:numPr>
              <w:overflowPunct/>
              <w:autoSpaceDE/>
              <w:autoSpaceDN/>
              <w:adjustRightInd/>
              <w:ind w:left="720" w:hanging="360"/>
              <w:textAlignment w:val="auto"/>
              <w:rPr>
                <w:rFonts w:eastAsia="MS PGothic" w:cs="Times"/>
                <w:sz w:val="14"/>
                <w:szCs w:val="12"/>
                <w:lang w:val="en-US" w:eastAsia="ja-JP"/>
              </w:rPr>
            </w:pPr>
            <w:r w:rsidRPr="00755682">
              <w:rPr>
                <w:rFonts w:eastAsia="MS PGothic" w:cs="Times"/>
                <w:sz w:val="14"/>
                <w:szCs w:val="12"/>
                <w:lang w:val="en-US" w:eastAsia="ja-JP"/>
              </w:rPr>
              <w:t xml:space="preserve">Issue D: HARQ bundling for </w:t>
            </w:r>
            <w:proofErr w:type="spellStart"/>
            <w:r w:rsidRPr="00755682">
              <w:rPr>
                <w:rFonts w:eastAsia="MS PGothic" w:cs="Times"/>
                <w:sz w:val="14"/>
                <w:szCs w:val="12"/>
                <w:lang w:val="en-US" w:eastAsia="ja-JP"/>
              </w:rPr>
              <w:t>eMTC</w:t>
            </w:r>
            <w:proofErr w:type="spellEnd"/>
            <w:r w:rsidRPr="00755682">
              <w:rPr>
                <w:rFonts w:eastAsia="MS PGothic" w:cs="Times"/>
                <w:sz w:val="14"/>
                <w:szCs w:val="12"/>
                <w:lang w:val="en-US" w:eastAsia="ja-JP"/>
              </w:rPr>
              <w:t xml:space="preserve"> HD-FDD</w:t>
            </w:r>
          </w:p>
          <w:p w14:paraId="23A0789C" w14:textId="77777777" w:rsidR="00755682" w:rsidRPr="00755682" w:rsidRDefault="00755682" w:rsidP="00755682">
            <w:pPr>
              <w:pStyle w:val="ListParagraph"/>
              <w:numPr>
                <w:ilvl w:val="0"/>
                <w:numId w:val="36"/>
              </w:numPr>
              <w:overflowPunct/>
              <w:autoSpaceDE/>
              <w:autoSpaceDN/>
              <w:adjustRightInd/>
              <w:ind w:left="720" w:hanging="360"/>
              <w:textAlignment w:val="auto"/>
              <w:rPr>
                <w:rFonts w:eastAsia="MS PGothic" w:cs="Times"/>
                <w:sz w:val="14"/>
                <w:szCs w:val="12"/>
                <w:lang w:val="en-US" w:eastAsia="ja-JP"/>
              </w:rPr>
            </w:pPr>
            <w:r w:rsidRPr="00755682">
              <w:rPr>
                <w:rFonts w:eastAsia="MS PGothic" w:cs="Times"/>
                <w:sz w:val="14"/>
                <w:szCs w:val="12"/>
                <w:lang w:val="en-US" w:eastAsia="ja-JP"/>
              </w:rPr>
              <w:t>Issue F: NPRACH capacity</w:t>
            </w:r>
          </w:p>
          <w:p w14:paraId="5E3FAF85" w14:textId="77777777" w:rsidR="00755682" w:rsidRPr="00755682" w:rsidRDefault="00755682" w:rsidP="00755682">
            <w:pPr>
              <w:pStyle w:val="ListParagraph"/>
              <w:numPr>
                <w:ilvl w:val="0"/>
                <w:numId w:val="36"/>
              </w:numPr>
              <w:overflowPunct/>
              <w:autoSpaceDE/>
              <w:autoSpaceDN/>
              <w:adjustRightInd/>
              <w:ind w:left="720" w:hanging="360"/>
              <w:textAlignment w:val="auto"/>
              <w:rPr>
                <w:rFonts w:eastAsia="MS PGothic" w:cs="Times"/>
                <w:sz w:val="14"/>
                <w:szCs w:val="12"/>
                <w:lang w:val="en-US" w:eastAsia="ja-JP"/>
              </w:rPr>
            </w:pPr>
            <w:r w:rsidRPr="00755682">
              <w:rPr>
                <w:rFonts w:eastAsia="MS PGothic" w:cs="Times"/>
                <w:sz w:val="14"/>
                <w:szCs w:val="12"/>
                <w:lang w:val="en-US" w:eastAsia="ja-JP"/>
              </w:rPr>
              <w:t xml:space="preserve">Issue G: Serving cell/satellite change during data transfer (FFS: for </w:t>
            </w:r>
            <w:proofErr w:type="spellStart"/>
            <w:r w:rsidRPr="00755682">
              <w:rPr>
                <w:rFonts w:eastAsia="MS PGothic" w:cs="Times"/>
                <w:sz w:val="14"/>
                <w:szCs w:val="12"/>
                <w:lang w:val="en-US" w:eastAsia="ja-JP"/>
              </w:rPr>
              <w:t>eMTC</w:t>
            </w:r>
            <w:proofErr w:type="spellEnd"/>
            <w:r w:rsidRPr="00755682">
              <w:rPr>
                <w:rFonts w:eastAsia="MS PGothic" w:cs="Times"/>
                <w:sz w:val="14"/>
                <w:szCs w:val="12"/>
                <w:lang w:val="en-US" w:eastAsia="ja-JP"/>
              </w:rPr>
              <w:t xml:space="preserve"> and/or NB-IoT)</w:t>
            </w:r>
          </w:p>
          <w:p w14:paraId="4C3D59A8" w14:textId="77777777" w:rsidR="00755682" w:rsidRPr="00755682" w:rsidRDefault="00755682" w:rsidP="00755682">
            <w:pPr>
              <w:pStyle w:val="ListParagraph"/>
              <w:numPr>
                <w:ilvl w:val="0"/>
                <w:numId w:val="36"/>
              </w:numPr>
              <w:overflowPunct/>
              <w:autoSpaceDE/>
              <w:autoSpaceDN/>
              <w:adjustRightInd/>
              <w:ind w:left="720" w:hanging="360"/>
              <w:textAlignment w:val="auto"/>
              <w:rPr>
                <w:rFonts w:eastAsia="MS PGothic" w:cs="Times"/>
                <w:sz w:val="14"/>
                <w:szCs w:val="12"/>
                <w:lang w:val="en-US" w:eastAsia="ja-JP"/>
              </w:rPr>
            </w:pPr>
            <w:r w:rsidRPr="00755682">
              <w:rPr>
                <w:rFonts w:eastAsia="MS PGothic" w:cs="Times"/>
                <w:sz w:val="14"/>
                <w:szCs w:val="12"/>
                <w:lang w:val="en-US" w:eastAsia="ja-JP"/>
              </w:rPr>
              <w:t>Other issues are not excluded</w:t>
            </w:r>
          </w:p>
          <w:p w14:paraId="206F2832" w14:textId="421E2F5D" w:rsidR="00755682" w:rsidRPr="00755682" w:rsidRDefault="00755682" w:rsidP="006A30F5">
            <w:pPr>
              <w:rPr>
                <w:rFonts w:cs="Times"/>
                <w:lang w:eastAsia="zh-CN"/>
              </w:rPr>
            </w:pPr>
            <w:r w:rsidRPr="00755682">
              <w:rPr>
                <w:rFonts w:cs="Times"/>
                <w:sz w:val="14"/>
                <w:szCs w:val="12"/>
                <w:lang w:eastAsia="zh-CN"/>
              </w:rPr>
              <w:t>Note: The “Issues” in common for eMTC and NB-IoT can be separately discussed.</w:t>
            </w:r>
          </w:p>
        </w:tc>
      </w:tr>
    </w:tbl>
    <w:p w14:paraId="38D54470" w14:textId="6FF68B08" w:rsidR="00BE6093" w:rsidRDefault="0051533F" w:rsidP="00BE6093">
      <w:pPr>
        <w:pStyle w:val="BodyText"/>
        <w:spacing w:before="120"/>
        <w:rPr>
          <w:rFonts w:ascii="Times New Roman" w:hAnsi="Times New Roman"/>
          <w:lang w:eastAsia="ja-JP"/>
        </w:rPr>
      </w:pPr>
      <w:r>
        <w:rPr>
          <w:rFonts w:ascii="Times New Roman" w:hAnsi="Times New Roman"/>
          <w:lang w:eastAsia="ja-JP"/>
        </w:rPr>
        <w:t>The agreement above is discussed for LTE-MTC and NB-IoT separately in sections 4.1 and 4.2 respectively.</w:t>
      </w:r>
    </w:p>
    <w:p w14:paraId="68AF418B" w14:textId="3C77F783" w:rsidR="00BE6093" w:rsidRDefault="00BE6093" w:rsidP="00BE6093">
      <w:pPr>
        <w:pStyle w:val="Heading2"/>
      </w:pPr>
      <w:r>
        <w:t>4.1</w:t>
      </w:r>
      <w:r>
        <w:tab/>
        <w:t>LTE-MTC on “</w:t>
      </w:r>
      <w:r>
        <w:rPr>
          <w:rFonts w:ascii="Times New Roman" w:hAnsi="Times New Roman"/>
          <w:i/>
          <w:iCs/>
        </w:rPr>
        <w:t>to f</w:t>
      </w:r>
      <w:r w:rsidRPr="003048E2">
        <w:rPr>
          <w:rFonts w:ascii="Times New Roman" w:hAnsi="Times New Roman"/>
          <w:i/>
          <w:iCs/>
        </w:rPr>
        <w:t>urther study the potential issues due to enabling/disabling on HARQ feedback for downlink transmission</w:t>
      </w:r>
      <w:r>
        <w:t>”</w:t>
      </w:r>
    </w:p>
    <w:p w14:paraId="4177868A" w14:textId="0E4D7B87" w:rsidR="001C5B2D" w:rsidRDefault="001C5B2D" w:rsidP="00A76159">
      <w:pPr>
        <w:jc w:val="both"/>
      </w:pPr>
      <w:r>
        <w:t>The “</w:t>
      </w:r>
      <w:r w:rsidRPr="001C5B2D">
        <w:rPr>
          <w:i/>
          <w:iCs/>
        </w:rPr>
        <w:t>potential issues due to enabling/disabling on HARQ feedback for downlink transmission</w:t>
      </w:r>
      <w:r>
        <w:t xml:space="preserve">” can be analysed from a high-level perspective on whether there is an issue </w:t>
      </w:r>
      <w:r w:rsidRPr="001C5B2D">
        <w:rPr>
          <w:i/>
          <w:iCs/>
        </w:rPr>
        <w:t>per-se</w:t>
      </w:r>
      <w:r>
        <w:t xml:space="preserve"> from not </w:t>
      </w:r>
      <w:r w:rsidR="00A32C1A">
        <w:t>transmitting PUCCH with</w:t>
      </w:r>
      <w:r>
        <w:t xml:space="preserve"> the disabling approach. </w:t>
      </w:r>
      <w:r w:rsidR="00A32C1A">
        <w:t>Nonetheless, a</w:t>
      </w:r>
      <w:r>
        <w:t xml:space="preserve"> complete analysis will depend on the actual candidate solution(s) </w:t>
      </w:r>
      <w:r w:rsidR="00A32C1A">
        <w:t>intended to be used to</w:t>
      </w:r>
      <w:r>
        <w:t xml:space="preserve"> perform the disabling</w:t>
      </w:r>
      <w:r w:rsidR="00EF75D3">
        <w:t xml:space="preserve"> of HARQ feedback</w:t>
      </w:r>
      <w:r>
        <w:t>.</w:t>
      </w:r>
    </w:p>
    <w:p w14:paraId="5B0E1273" w14:textId="4AB1B6B2" w:rsidR="001C5B2D" w:rsidRDefault="00866186" w:rsidP="00866186">
      <w:pPr>
        <w:pStyle w:val="Observation"/>
        <w:ind w:left="1701" w:hanging="1701"/>
      </w:pPr>
      <w:bookmarkStart w:id="18" w:name="_Toc111112461"/>
      <w:r>
        <w:t>The “</w:t>
      </w:r>
      <w:r w:rsidRPr="001C5B2D">
        <w:rPr>
          <w:i/>
          <w:iCs/>
        </w:rPr>
        <w:t>potential issues due to enabling/disabling on HARQ feedback</w:t>
      </w:r>
      <w:r>
        <w:rPr>
          <w:i/>
          <w:iCs/>
        </w:rPr>
        <w:t xml:space="preserve">” </w:t>
      </w:r>
      <w:r>
        <w:t xml:space="preserve">can in principle be analysed from </w:t>
      </w:r>
      <w:r w:rsidR="00AD7834">
        <w:t>a high-level</w:t>
      </w:r>
      <w:r>
        <w:t xml:space="preserve"> perspective on whether no transmitting PUCCH </w:t>
      </w:r>
      <w:r w:rsidR="00AD7834">
        <w:t xml:space="preserve">will </w:t>
      </w:r>
      <w:r>
        <w:t>result to be problematic or unfeasible for a given feature, but the complete analysis will depend on the actual candidate solution(s) perform</w:t>
      </w:r>
      <w:r w:rsidR="00DA6719">
        <w:t>ing</w:t>
      </w:r>
      <w:r>
        <w:t xml:space="preserve"> the disabling</w:t>
      </w:r>
      <w:r w:rsidR="00AD7834">
        <w:t xml:space="preserve"> approach</w:t>
      </w:r>
      <w:r>
        <w:t>.</w:t>
      </w:r>
      <w:bookmarkEnd w:id="18"/>
    </w:p>
    <w:p w14:paraId="514D51B7" w14:textId="774A22ED" w:rsidR="00755682" w:rsidRDefault="001C5B2D" w:rsidP="00BE6093">
      <w:r>
        <w:t xml:space="preserve">Thus, </w:t>
      </w:r>
      <w:r w:rsidR="00A32C1A">
        <w:t xml:space="preserve">for “LTE-MTC over NTN” </w:t>
      </w:r>
      <w:r w:rsidR="00866186">
        <w:t>our preliminary view</w:t>
      </w:r>
      <w:r w:rsidR="00A32C1A">
        <w:t>s</w:t>
      </w:r>
      <w:r w:rsidR="00866186">
        <w:t xml:space="preserve"> </w:t>
      </w:r>
      <w:r w:rsidR="00DA0F44">
        <w:t xml:space="preserve">on the issues listed in the agreement from RAN1# 109-e </w:t>
      </w:r>
      <w:r w:rsidR="00A32C1A">
        <w:t>are</w:t>
      </w:r>
      <w:r w:rsidR="0030254F">
        <w:t xml:space="preserve"> provided through “Observation 9”</w:t>
      </w:r>
      <w:r w:rsidR="00DA0F44">
        <w:t>:</w:t>
      </w:r>
    </w:p>
    <w:p w14:paraId="2B6AEBF8" w14:textId="0DF32D5C" w:rsidR="00244477" w:rsidRDefault="00E379D8" w:rsidP="00BE6093">
      <w:pPr>
        <w:pStyle w:val="Observation"/>
        <w:ind w:left="1701" w:hanging="1701"/>
      </w:pPr>
      <w:bookmarkStart w:id="19" w:name="_Toc111112462"/>
      <w:r>
        <w:lastRenderedPageBreak/>
        <w:t>From an “LTE-MTC over NTN” perspective, o</w:t>
      </w:r>
      <w:r w:rsidR="00244477">
        <w:t xml:space="preserve">ur preliminary view </w:t>
      </w:r>
      <w:r w:rsidR="00244477" w:rsidRPr="00DA0F44">
        <w:t xml:space="preserve">on the </w:t>
      </w:r>
      <w:r w:rsidR="00CA5E29">
        <w:t xml:space="preserve">potential </w:t>
      </w:r>
      <w:r w:rsidR="00244477" w:rsidRPr="00DA0F44">
        <w:t>issues listed in the agreement from RAN1# 109-e is</w:t>
      </w:r>
      <w:r w:rsidR="00244477">
        <w:t xml:space="preserve"> as follows:</w:t>
      </w:r>
      <w:bookmarkEnd w:id="19"/>
    </w:p>
    <w:tbl>
      <w:tblPr>
        <w:tblStyle w:val="TableGrid"/>
        <w:tblW w:w="0" w:type="auto"/>
        <w:tblInd w:w="1701" w:type="dxa"/>
        <w:tblLook w:val="04A0" w:firstRow="1" w:lastRow="0" w:firstColumn="1" w:lastColumn="0" w:noHBand="0" w:noVBand="1"/>
      </w:tblPr>
      <w:tblGrid>
        <w:gridCol w:w="3988"/>
        <w:gridCol w:w="3940"/>
      </w:tblGrid>
      <w:tr w:rsidR="00E379D8" w14:paraId="56516D7C" w14:textId="77777777" w:rsidTr="00F66814">
        <w:tc>
          <w:tcPr>
            <w:tcW w:w="4814" w:type="dxa"/>
          </w:tcPr>
          <w:p w14:paraId="18FC0D5E" w14:textId="3FDBCBB1" w:rsidR="00F66814" w:rsidRPr="00B3729E" w:rsidRDefault="00831E7D" w:rsidP="00831E7D">
            <w:pPr>
              <w:pStyle w:val="Observation"/>
              <w:numPr>
                <w:ilvl w:val="0"/>
                <w:numId w:val="0"/>
              </w:numPr>
              <w:jc w:val="center"/>
              <w:rPr>
                <w:sz w:val="14"/>
                <w:szCs w:val="14"/>
              </w:rPr>
            </w:pPr>
            <w:bookmarkStart w:id="20" w:name="_Toc104406432"/>
            <w:bookmarkStart w:id="21" w:name="_Toc106716371"/>
            <w:bookmarkStart w:id="22" w:name="_Toc111112463"/>
            <w:r w:rsidRPr="00B3729E">
              <w:rPr>
                <w:sz w:val="14"/>
                <w:szCs w:val="14"/>
              </w:rPr>
              <w:t>Listed issue as per RAN1# 109-e</w:t>
            </w:r>
            <w:bookmarkEnd w:id="20"/>
            <w:bookmarkEnd w:id="21"/>
            <w:bookmarkEnd w:id="22"/>
          </w:p>
        </w:tc>
        <w:tc>
          <w:tcPr>
            <w:tcW w:w="4815" w:type="dxa"/>
          </w:tcPr>
          <w:p w14:paraId="189990B7" w14:textId="325F4A44" w:rsidR="00F66814" w:rsidRPr="00B3729E" w:rsidRDefault="00F66814" w:rsidP="00831E7D">
            <w:pPr>
              <w:pStyle w:val="Observation"/>
              <w:numPr>
                <w:ilvl w:val="0"/>
                <w:numId w:val="0"/>
              </w:numPr>
              <w:jc w:val="center"/>
              <w:rPr>
                <w:sz w:val="14"/>
                <w:szCs w:val="14"/>
              </w:rPr>
            </w:pPr>
            <w:bookmarkStart w:id="23" w:name="_Toc104406433"/>
            <w:bookmarkStart w:id="24" w:name="_Toc106716372"/>
            <w:bookmarkStart w:id="25" w:name="_Toc111112464"/>
            <w:r w:rsidRPr="00B3729E">
              <w:rPr>
                <w:sz w:val="14"/>
                <w:szCs w:val="14"/>
              </w:rPr>
              <w:t>Preliminary v</w:t>
            </w:r>
            <w:r w:rsidR="00831E7D" w:rsidRPr="00B3729E">
              <w:rPr>
                <w:sz w:val="14"/>
                <w:szCs w:val="14"/>
              </w:rPr>
              <w:t>iew</w:t>
            </w:r>
            <w:bookmarkEnd w:id="23"/>
            <w:bookmarkEnd w:id="24"/>
            <w:bookmarkEnd w:id="25"/>
          </w:p>
        </w:tc>
      </w:tr>
      <w:tr w:rsidR="00E379D8" w14:paraId="7B547CB1" w14:textId="77777777" w:rsidTr="00F66814">
        <w:tc>
          <w:tcPr>
            <w:tcW w:w="4814" w:type="dxa"/>
          </w:tcPr>
          <w:p w14:paraId="0CE1FFF2" w14:textId="3E1E4F25" w:rsidR="00F66814" w:rsidRPr="00B3729E" w:rsidRDefault="00831E7D" w:rsidP="00831E7D">
            <w:pPr>
              <w:pStyle w:val="Observation"/>
              <w:numPr>
                <w:ilvl w:val="0"/>
                <w:numId w:val="0"/>
              </w:numPr>
              <w:jc w:val="left"/>
              <w:rPr>
                <w:sz w:val="14"/>
                <w:szCs w:val="14"/>
              </w:rPr>
            </w:pPr>
            <w:bookmarkStart w:id="26" w:name="_Toc104406434"/>
            <w:bookmarkStart w:id="27" w:name="_Toc106716373"/>
            <w:bookmarkStart w:id="28" w:name="_Toc111112465"/>
            <w:r w:rsidRPr="00B3729E">
              <w:rPr>
                <w:sz w:val="14"/>
                <w:szCs w:val="14"/>
              </w:rPr>
              <w:t>Issue A: SPS PDSCH</w:t>
            </w:r>
            <w:bookmarkEnd w:id="26"/>
            <w:bookmarkEnd w:id="27"/>
            <w:bookmarkEnd w:id="28"/>
          </w:p>
        </w:tc>
        <w:tc>
          <w:tcPr>
            <w:tcW w:w="4815" w:type="dxa"/>
          </w:tcPr>
          <w:p w14:paraId="5524AED8" w14:textId="04ACB163" w:rsidR="00F66814" w:rsidRPr="00B3729E" w:rsidRDefault="00E379D8" w:rsidP="00F66814">
            <w:pPr>
              <w:pStyle w:val="Observation"/>
              <w:numPr>
                <w:ilvl w:val="0"/>
                <w:numId w:val="0"/>
              </w:numPr>
              <w:rPr>
                <w:sz w:val="14"/>
                <w:szCs w:val="14"/>
              </w:rPr>
            </w:pPr>
            <w:bookmarkStart w:id="29" w:name="_Toc104406435"/>
            <w:bookmarkStart w:id="30" w:name="_Toc106716374"/>
            <w:bookmarkStart w:id="31" w:name="_Toc111112466"/>
            <w:r w:rsidRPr="00B3729E">
              <w:rPr>
                <w:sz w:val="14"/>
                <w:szCs w:val="14"/>
              </w:rPr>
              <w:t xml:space="preserve">Using SPS along with enabling/disabling HARQ feedback is foreseen not to be transparent, since it seems that enabling/disabling of HARQ feedback </w:t>
            </w:r>
            <w:r w:rsidR="00BC66F1" w:rsidRPr="00B3729E">
              <w:rPr>
                <w:sz w:val="14"/>
                <w:szCs w:val="14"/>
              </w:rPr>
              <w:t>may</w:t>
            </w:r>
            <w:r w:rsidRPr="00B3729E">
              <w:rPr>
                <w:sz w:val="14"/>
                <w:szCs w:val="14"/>
              </w:rPr>
              <w:t xml:space="preserve"> have to be added as part of the SPS configuration (i.e., along with MCS, number of repetitions, etc). </w:t>
            </w:r>
            <w:r w:rsidR="000F41E4" w:rsidRPr="00B3729E">
              <w:rPr>
                <w:sz w:val="14"/>
                <w:szCs w:val="14"/>
              </w:rPr>
              <w:t xml:space="preserve">Thus, RAN1 should ponder the importance of SPS for LTE-MTC over </w:t>
            </w:r>
            <w:r w:rsidR="00BC66F1" w:rsidRPr="00B3729E">
              <w:rPr>
                <w:sz w:val="14"/>
                <w:szCs w:val="14"/>
              </w:rPr>
              <w:t>NTN</w:t>
            </w:r>
            <w:r w:rsidR="000F41E4" w:rsidRPr="00B3729E">
              <w:rPr>
                <w:sz w:val="14"/>
                <w:szCs w:val="14"/>
              </w:rPr>
              <w:t xml:space="preserve"> as to justify the potential specification impact.</w:t>
            </w:r>
            <w:bookmarkEnd w:id="29"/>
            <w:bookmarkEnd w:id="30"/>
            <w:bookmarkEnd w:id="31"/>
          </w:p>
        </w:tc>
      </w:tr>
      <w:tr w:rsidR="00831E7D" w14:paraId="1A99970D" w14:textId="77777777" w:rsidTr="00F66814">
        <w:tc>
          <w:tcPr>
            <w:tcW w:w="4814" w:type="dxa"/>
          </w:tcPr>
          <w:p w14:paraId="475CDA87" w14:textId="5164CAA0" w:rsidR="00831E7D" w:rsidRPr="00B3729E" w:rsidRDefault="00831E7D" w:rsidP="00831E7D">
            <w:pPr>
              <w:pStyle w:val="Observation"/>
              <w:numPr>
                <w:ilvl w:val="0"/>
                <w:numId w:val="0"/>
              </w:numPr>
              <w:jc w:val="left"/>
              <w:rPr>
                <w:sz w:val="14"/>
                <w:szCs w:val="14"/>
              </w:rPr>
            </w:pPr>
            <w:bookmarkStart w:id="32" w:name="_Toc104406436"/>
            <w:bookmarkStart w:id="33" w:name="_Toc106716375"/>
            <w:bookmarkStart w:id="34" w:name="_Toc111112467"/>
            <w:r w:rsidRPr="00B3729E">
              <w:rPr>
                <w:sz w:val="14"/>
                <w:szCs w:val="14"/>
              </w:rPr>
              <w:t>Issue B: (N)PDSCH/(N)PDCCH scheduling restriction</w:t>
            </w:r>
            <w:bookmarkEnd w:id="32"/>
            <w:bookmarkEnd w:id="33"/>
            <w:bookmarkEnd w:id="34"/>
          </w:p>
        </w:tc>
        <w:tc>
          <w:tcPr>
            <w:tcW w:w="4815" w:type="dxa"/>
          </w:tcPr>
          <w:p w14:paraId="50384AC7" w14:textId="45FB7175" w:rsidR="00831E7D" w:rsidRPr="00B3729E" w:rsidRDefault="00BC66F1" w:rsidP="00F66814">
            <w:pPr>
              <w:pStyle w:val="Observation"/>
              <w:numPr>
                <w:ilvl w:val="0"/>
                <w:numId w:val="0"/>
              </w:numPr>
              <w:rPr>
                <w:sz w:val="14"/>
                <w:szCs w:val="14"/>
              </w:rPr>
            </w:pPr>
            <w:bookmarkStart w:id="35" w:name="_Toc104406437"/>
            <w:bookmarkStart w:id="36" w:name="_Toc106716376"/>
            <w:bookmarkStart w:id="37" w:name="_Toc111112468"/>
            <w:r w:rsidRPr="00B3729E">
              <w:rPr>
                <w:sz w:val="14"/>
                <w:szCs w:val="14"/>
              </w:rPr>
              <w:t>This issue has to do with “legacy processing delays”. Those “legacy processing delays”</w:t>
            </w:r>
            <w:r w:rsidR="00B3729E" w:rsidRPr="00B3729E">
              <w:rPr>
                <w:sz w:val="14"/>
                <w:szCs w:val="14"/>
              </w:rPr>
              <w:t xml:space="preserve"> are an important part of what makes the IoT technologies hav</w:t>
            </w:r>
            <w:r w:rsidR="001E3D49">
              <w:rPr>
                <w:sz w:val="14"/>
                <w:szCs w:val="14"/>
              </w:rPr>
              <w:t>ing</w:t>
            </w:r>
            <w:r w:rsidR="00B3729E" w:rsidRPr="00B3729E">
              <w:rPr>
                <w:sz w:val="14"/>
                <w:szCs w:val="14"/>
              </w:rPr>
              <w:t xml:space="preserve"> a low complexity and </w:t>
            </w:r>
            <w:r w:rsidR="00B3729E">
              <w:rPr>
                <w:sz w:val="14"/>
                <w:szCs w:val="14"/>
              </w:rPr>
              <w:t xml:space="preserve">a </w:t>
            </w:r>
            <w:r w:rsidR="00B3729E" w:rsidRPr="00B3729E">
              <w:rPr>
                <w:sz w:val="14"/>
                <w:szCs w:val="14"/>
              </w:rPr>
              <w:t>low cost, thus</w:t>
            </w:r>
            <w:r w:rsidR="00B3729E">
              <w:rPr>
                <w:sz w:val="14"/>
                <w:szCs w:val="14"/>
              </w:rPr>
              <w:t xml:space="preserve"> in our view any design to </w:t>
            </w:r>
            <w:r w:rsidR="00B3729E" w:rsidRPr="00B3729E">
              <w:rPr>
                <w:sz w:val="14"/>
                <w:szCs w:val="14"/>
              </w:rPr>
              <w:t>“</w:t>
            </w:r>
            <w:r w:rsidR="00B3729E">
              <w:rPr>
                <w:sz w:val="14"/>
                <w:szCs w:val="14"/>
              </w:rPr>
              <w:t>disabling the HARQ feedback</w:t>
            </w:r>
            <w:r w:rsidR="00B3729E" w:rsidRPr="00B3729E">
              <w:rPr>
                <w:sz w:val="14"/>
                <w:szCs w:val="14"/>
              </w:rPr>
              <w:t>”</w:t>
            </w:r>
            <w:r w:rsidR="00B3729E">
              <w:rPr>
                <w:sz w:val="14"/>
                <w:szCs w:val="14"/>
              </w:rPr>
              <w:t xml:space="preserve"> should aim to keep the legacy </w:t>
            </w:r>
            <w:r w:rsidR="00B3729E" w:rsidRPr="00B3729E">
              <w:rPr>
                <w:sz w:val="14"/>
                <w:szCs w:val="14"/>
              </w:rPr>
              <w:t>“legacy processing delays”</w:t>
            </w:r>
            <w:r w:rsidR="00B3729E">
              <w:rPr>
                <w:sz w:val="14"/>
                <w:szCs w:val="14"/>
              </w:rPr>
              <w:t xml:space="preserve"> unmodified</w:t>
            </w:r>
            <w:r w:rsidR="00B3729E" w:rsidRPr="00B3729E">
              <w:rPr>
                <w:sz w:val="14"/>
                <w:szCs w:val="14"/>
              </w:rPr>
              <w:t>.</w:t>
            </w:r>
            <w:r w:rsidR="00B3729E">
              <w:rPr>
                <w:sz w:val="14"/>
                <w:szCs w:val="14"/>
              </w:rPr>
              <w:t xml:space="preserve"> We elaborate more on it in section 5</w:t>
            </w:r>
            <w:r w:rsidR="00382419">
              <w:rPr>
                <w:sz w:val="14"/>
                <w:szCs w:val="14"/>
              </w:rPr>
              <w:t>.1</w:t>
            </w:r>
            <w:r w:rsidR="00B3729E">
              <w:rPr>
                <w:sz w:val="14"/>
                <w:szCs w:val="14"/>
              </w:rPr>
              <w:t>.</w:t>
            </w:r>
            <w:bookmarkEnd w:id="35"/>
            <w:bookmarkEnd w:id="36"/>
            <w:bookmarkEnd w:id="37"/>
          </w:p>
        </w:tc>
      </w:tr>
      <w:tr w:rsidR="00831E7D" w14:paraId="5C1807F1" w14:textId="77777777" w:rsidTr="00F66814">
        <w:tc>
          <w:tcPr>
            <w:tcW w:w="4814" w:type="dxa"/>
          </w:tcPr>
          <w:p w14:paraId="19929973" w14:textId="47093A4E" w:rsidR="00831E7D" w:rsidRPr="00B3729E" w:rsidRDefault="00831E7D" w:rsidP="00831E7D">
            <w:pPr>
              <w:pStyle w:val="Observation"/>
              <w:numPr>
                <w:ilvl w:val="0"/>
                <w:numId w:val="0"/>
              </w:numPr>
              <w:jc w:val="left"/>
              <w:rPr>
                <w:sz w:val="14"/>
                <w:szCs w:val="14"/>
              </w:rPr>
            </w:pPr>
            <w:bookmarkStart w:id="38" w:name="_Toc104406438"/>
            <w:bookmarkStart w:id="39" w:name="_Toc106716377"/>
            <w:bookmarkStart w:id="40" w:name="_Toc111112469"/>
            <w:r w:rsidRPr="00B3729E">
              <w:rPr>
                <w:sz w:val="14"/>
                <w:szCs w:val="14"/>
              </w:rPr>
              <w:t>Issue C: HARQ feedback for scheduling multiple TB</w:t>
            </w:r>
            <w:bookmarkEnd w:id="38"/>
            <w:bookmarkEnd w:id="39"/>
            <w:bookmarkEnd w:id="40"/>
          </w:p>
        </w:tc>
        <w:tc>
          <w:tcPr>
            <w:tcW w:w="4815" w:type="dxa"/>
          </w:tcPr>
          <w:p w14:paraId="2409A9FA" w14:textId="53A256E0" w:rsidR="00831E7D" w:rsidRDefault="00B43468" w:rsidP="00F66814">
            <w:pPr>
              <w:pStyle w:val="Observation"/>
              <w:numPr>
                <w:ilvl w:val="0"/>
                <w:numId w:val="0"/>
              </w:numPr>
              <w:rPr>
                <w:sz w:val="14"/>
                <w:szCs w:val="14"/>
              </w:rPr>
            </w:pPr>
            <w:bookmarkStart w:id="41" w:name="_Toc104406439"/>
            <w:bookmarkStart w:id="42" w:name="_Toc106716378"/>
            <w:bookmarkStart w:id="43" w:name="_Toc111112470"/>
            <w:r>
              <w:rPr>
                <w:sz w:val="14"/>
                <w:szCs w:val="14"/>
              </w:rPr>
              <w:t xml:space="preserve">Multi-TB grant </w:t>
            </w:r>
            <w:r w:rsidR="00A65E4F">
              <w:rPr>
                <w:sz w:val="14"/>
                <w:szCs w:val="14"/>
              </w:rPr>
              <w:t xml:space="preserve">allows scheduling with a single DCI </w:t>
            </w:r>
            <w:r w:rsidR="00A65E4F" w:rsidRPr="00A65E4F">
              <w:rPr>
                <w:sz w:val="14"/>
                <w:szCs w:val="14"/>
              </w:rPr>
              <w:t xml:space="preserve">up to 8 TBs in CE mode A, </w:t>
            </w:r>
            <w:r w:rsidR="00A65E4F">
              <w:rPr>
                <w:sz w:val="14"/>
                <w:szCs w:val="14"/>
              </w:rPr>
              <w:t xml:space="preserve">and </w:t>
            </w:r>
            <w:r w:rsidR="00A65E4F" w:rsidRPr="00A65E4F">
              <w:rPr>
                <w:sz w:val="14"/>
                <w:szCs w:val="14"/>
              </w:rPr>
              <w:t>up to 4 TBs in CE mode B</w:t>
            </w:r>
            <w:r>
              <w:rPr>
                <w:sz w:val="14"/>
                <w:szCs w:val="14"/>
              </w:rPr>
              <w:t>, hence</w:t>
            </w:r>
            <w:r w:rsidR="00D87FF3">
              <w:rPr>
                <w:sz w:val="14"/>
                <w:szCs w:val="14"/>
              </w:rPr>
              <w:t xml:space="preserve"> in CE Mode A</w:t>
            </w:r>
            <w:r>
              <w:rPr>
                <w:sz w:val="14"/>
                <w:szCs w:val="14"/>
              </w:rPr>
              <w:t xml:space="preserve"> Multi-TB grant is outperformed</w:t>
            </w:r>
            <w:r w:rsidR="00D87FF3">
              <w:rPr>
                <w:sz w:val="14"/>
                <w:szCs w:val="14"/>
              </w:rPr>
              <w:t xml:space="preserve"> by single TB grant</w:t>
            </w:r>
            <w:r>
              <w:rPr>
                <w:sz w:val="14"/>
                <w:szCs w:val="14"/>
              </w:rPr>
              <w:t xml:space="preserve"> i</w:t>
            </w:r>
            <w:r w:rsidR="00CC2AE3">
              <w:rPr>
                <w:sz w:val="14"/>
                <w:szCs w:val="14"/>
              </w:rPr>
              <w:t xml:space="preserve">n </w:t>
            </w:r>
            <w:r w:rsidR="00D87FF3">
              <w:rPr>
                <w:sz w:val="14"/>
                <w:szCs w:val="14"/>
              </w:rPr>
              <w:t>terms of achievable data rate</w:t>
            </w:r>
            <w:r w:rsidR="00CC2AE3">
              <w:rPr>
                <w:sz w:val="14"/>
                <w:szCs w:val="14"/>
              </w:rPr>
              <w:t xml:space="preserve"> i</w:t>
            </w:r>
            <w:r w:rsidRPr="00B43468">
              <w:rPr>
                <w:sz w:val="14"/>
                <w:szCs w:val="14"/>
              </w:rPr>
              <w:t xml:space="preserve">f single TB </w:t>
            </w:r>
            <w:r>
              <w:rPr>
                <w:sz w:val="14"/>
                <w:szCs w:val="14"/>
              </w:rPr>
              <w:t>grant</w:t>
            </w:r>
            <w:r w:rsidRPr="00B43468">
              <w:rPr>
                <w:sz w:val="14"/>
                <w:szCs w:val="14"/>
              </w:rPr>
              <w:t xml:space="preserve"> is used </w:t>
            </w:r>
            <w:r>
              <w:rPr>
                <w:sz w:val="14"/>
                <w:szCs w:val="14"/>
              </w:rPr>
              <w:t xml:space="preserve">e.g., </w:t>
            </w:r>
            <w:r w:rsidRPr="00B43468">
              <w:rPr>
                <w:sz w:val="14"/>
                <w:szCs w:val="14"/>
              </w:rPr>
              <w:t xml:space="preserve">with </w:t>
            </w:r>
            <w:r>
              <w:rPr>
                <w:sz w:val="14"/>
                <w:szCs w:val="14"/>
              </w:rPr>
              <w:t>9 or more</w:t>
            </w:r>
            <w:r w:rsidRPr="00B43468">
              <w:rPr>
                <w:sz w:val="14"/>
                <w:szCs w:val="14"/>
              </w:rPr>
              <w:t xml:space="preserve"> HARQ processes</w:t>
            </w:r>
            <w:r w:rsidR="00BB5989">
              <w:rPr>
                <w:sz w:val="14"/>
                <w:szCs w:val="14"/>
              </w:rPr>
              <w:t>. On the other hand, up 2 HARQ processes are supported in CE ModeB</w:t>
            </w:r>
            <w:r>
              <w:rPr>
                <w:sz w:val="14"/>
                <w:szCs w:val="14"/>
              </w:rPr>
              <w:t>.</w:t>
            </w:r>
            <w:bookmarkEnd w:id="41"/>
            <w:bookmarkEnd w:id="42"/>
            <w:bookmarkEnd w:id="43"/>
          </w:p>
          <w:p w14:paraId="2815818F" w14:textId="45795C7C" w:rsidR="00460E09" w:rsidRPr="00B3729E" w:rsidRDefault="00460E09" w:rsidP="00F66814">
            <w:pPr>
              <w:pStyle w:val="Observation"/>
              <w:numPr>
                <w:ilvl w:val="0"/>
                <w:numId w:val="0"/>
              </w:numPr>
              <w:rPr>
                <w:sz w:val="14"/>
                <w:szCs w:val="14"/>
              </w:rPr>
            </w:pPr>
            <w:bookmarkStart w:id="44" w:name="_Toc104406440"/>
            <w:bookmarkStart w:id="45" w:name="_Toc106716379"/>
            <w:bookmarkStart w:id="46" w:name="_Toc111112471"/>
            <w:r>
              <w:rPr>
                <w:sz w:val="14"/>
                <w:szCs w:val="14"/>
              </w:rPr>
              <w:t xml:space="preserve">In principle, </w:t>
            </w:r>
            <w:r w:rsidR="00FC7099">
              <w:rPr>
                <w:sz w:val="14"/>
                <w:szCs w:val="14"/>
              </w:rPr>
              <w:t xml:space="preserve">when HARQ feedback is disabled, </w:t>
            </w:r>
            <w:r>
              <w:rPr>
                <w:sz w:val="14"/>
                <w:szCs w:val="14"/>
              </w:rPr>
              <w:t>n</w:t>
            </w:r>
            <w:r w:rsidR="00B43468">
              <w:rPr>
                <w:sz w:val="14"/>
                <w:szCs w:val="14"/>
              </w:rPr>
              <w:t>o issue is foreseen on Multi-TB grant nor Single-TB grant from not transmitting PUCCH</w:t>
            </w:r>
            <w:r w:rsidR="00FC7099">
              <w:rPr>
                <w:sz w:val="14"/>
                <w:szCs w:val="14"/>
              </w:rPr>
              <w:t>,</w:t>
            </w:r>
            <w:r w:rsidR="00B43468">
              <w:rPr>
                <w:sz w:val="14"/>
                <w:szCs w:val="14"/>
              </w:rPr>
              <w:t xml:space="preserve"> </w:t>
            </w:r>
            <w:r w:rsidR="00810777">
              <w:rPr>
                <w:sz w:val="14"/>
                <w:szCs w:val="14"/>
              </w:rPr>
              <w:t xml:space="preserve">at least </w:t>
            </w:r>
            <w:r w:rsidR="007B242B">
              <w:rPr>
                <w:sz w:val="14"/>
                <w:szCs w:val="14"/>
              </w:rPr>
              <w:t xml:space="preserve">not </w:t>
            </w:r>
            <w:r w:rsidR="00B43468">
              <w:rPr>
                <w:sz w:val="14"/>
                <w:szCs w:val="14"/>
              </w:rPr>
              <w:t xml:space="preserve">as long as the </w:t>
            </w:r>
            <w:r w:rsidR="00B43468" w:rsidRPr="00B3729E">
              <w:rPr>
                <w:sz w:val="14"/>
                <w:szCs w:val="14"/>
              </w:rPr>
              <w:t>“legacy processing delays”</w:t>
            </w:r>
            <w:r w:rsidR="00B43468">
              <w:rPr>
                <w:sz w:val="14"/>
                <w:szCs w:val="14"/>
              </w:rPr>
              <w:t xml:space="preserve"> are kept unmodified</w:t>
            </w:r>
            <w:r w:rsidR="00B43468" w:rsidRPr="00B3729E">
              <w:rPr>
                <w:sz w:val="14"/>
                <w:szCs w:val="14"/>
              </w:rPr>
              <w:t>.</w:t>
            </w:r>
            <w:bookmarkEnd w:id="44"/>
            <w:r w:rsidR="00B43468" w:rsidRPr="00B3729E">
              <w:rPr>
                <w:sz w:val="14"/>
                <w:szCs w:val="14"/>
              </w:rPr>
              <w:t xml:space="preserve"> </w:t>
            </w:r>
            <w:r w:rsidR="00A1158D">
              <w:rPr>
                <w:sz w:val="14"/>
                <w:szCs w:val="14"/>
              </w:rPr>
              <w:t>Yet, given Single-TB grant can outperform Multi-TB grant it needs to be ponder</w:t>
            </w:r>
            <w:r w:rsidR="0037435E">
              <w:rPr>
                <w:sz w:val="14"/>
                <w:szCs w:val="14"/>
              </w:rPr>
              <w:t>ed</w:t>
            </w:r>
            <w:r w:rsidR="00A1158D">
              <w:rPr>
                <w:sz w:val="14"/>
                <w:szCs w:val="14"/>
              </w:rPr>
              <w:t xml:space="preserve"> whether the latter </w:t>
            </w:r>
            <w:r w:rsidR="006262D0">
              <w:rPr>
                <w:sz w:val="14"/>
                <w:szCs w:val="14"/>
              </w:rPr>
              <w:t>needs to be supported</w:t>
            </w:r>
            <w:r w:rsidR="00A1158D">
              <w:rPr>
                <w:sz w:val="14"/>
                <w:szCs w:val="14"/>
              </w:rPr>
              <w:t>.</w:t>
            </w:r>
            <w:bookmarkEnd w:id="45"/>
            <w:bookmarkEnd w:id="46"/>
            <w:r w:rsidR="00B43468">
              <w:rPr>
                <w:sz w:val="14"/>
                <w:szCs w:val="14"/>
              </w:rPr>
              <w:t xml:space="preserve"> </w:t>
            </w:r>
          </w:p>
        </w:tc>
      </w:tr>
      <w:tr w:rsidR="00831E7D" w14:paraId="511423AB" w14:textId="77777777" w:rsidTr="00F66814">
        <w:tc>
          <w:tcPr>
            <w:tcW w:w="4814" w:type="dxa"/>
          </w:tcPr>
          <w:p w14:paraId="02E8A126" w14:textId="17FD0156" w:rsidR="00831E7D" w:rsidRPr="00B3729E" w:rsidRDefault="00831E7D" w:rsidP="00831E7D">
            <w:pPr>
              <w:pStyle w:val="Observation"/>
              <w:numPr>
                <w:ilvl w:val="0"/>
                <w:numId w:val="0"/>
              </w:numPr>
              <w:jc w:val="left"/>
              <w:rPr>
                <w:sz w:val="14"/>
                <w:szCs w:val="14"/>
              </w:rPr>
            </w:pPr>
            <w:bookmarkStart w:id="47" w:name="_Toc104406441"/>
            <w:bookmarkStart w:id="48" w:name="_Toc106716380"/>
            <w:bookmarkStart w:id="49" w:name="_Toc111112472"/>
            <w:r w:rsidRPr="00B3729E">
              <w:rPr>
                <w:sz w:val="14"/>
                <w:szCs w:val="14"/>
              </w:rPr>
              <w:t>Issue D: HARQ bundling for eMTC HD-FDD</w:t>
            </w:r>
            <w:bookmarkEnd w:id="47"/>
            <w:bookmarkEnd w:id="48"/>
            <w:bookmarkEnd w:id="49"/>
          </w:p>
        </w:tc>
        <w:tc>
          <w:tcPr>
            <w:tcW w:w="4815" w:type="dxa"/>
          </w:tcPr>
          <w:p w14:paraId="01EB67C4" w14:textId="77777777" w:rsidR="00831E7D" w:rsidRDefault="00460E09" w:rsidP="00F66814">
            <w:pPr>
              <w:pStyle w:val="Observation"/>
              <w:numPr>
                <w:ilvl w:val="0"/>
                <w:numId w:val="0"/>
              </w:numPr>
              <w:rPr>
                <w:sz w:val="14"/>
                <w:szCs w:val="14"/>
              </w:rPr>
            </w:pPr>
            <w:bookmarkStart w:id="50" w:name="_Toc104406442"/>
            <w:bookmarkStart w:id="51" w:name="_Toc106716381"/>
            <w:bookmarkStart w:id="52" w:name="_Toc111112473"/>
            <w:r>
              <w:rPr>
                <w:sz w:val="14"/>
                <w:szCs w:val="14"/>
              </w:rPr>
              <w:t>If</w:t>
            </w:r>
            <w:r w:rsidR="00A52328">
              <w:rPr>
                <w:sz w:val="14"/>
                <w:szCs w:val="14"/>
              </w:rPr>
              <w:t xml:space="preserve"> enabling/disabling HARQ feedback is applied per HARQ process, then if within a given scheduling cycle, the </w:t>
            </w:r>
            <w:r w:rsidR="00A52328" w:rsidRPr="00A52328">
              <w:rPr>
                <w:sz w:val="14"/>
                <w:szCs w:val="14"/>
              </w:rPr>
              <w:t>“</w:t>
            </w:r>
            <w:r w:rsidR="00A52328">
              <w:rPr>
                <w:sz w:val="14"/>
                <w:szCs w:val="14"/>
              </w:rPr>
              <w:t>HARQ feedback</w:t>
            </w:r>
            <w:r w:rsidR="00A52328" w:rsidRPr="00A52328">
              <w:rPr>
                <w:sz w:val="14"/>
                <w:szCs w:val="14"/>
              </w:rPr>
              <w:t>”</w:t>
            </w:r>
            <w:r w:rsidR="00A52328">
              <w:rPr>
                <w:sz w:val="14"/>
                <w:szCs w:val="14"/>
              </w:rPr>
              <w:t xml:space="preserve"> is enabled for some HARQ processes and disabled for some other HARQ processes, then how to interpret</w:t>
            </w:r>
            <w:r w:rsidR="00A1729C">
              <w:rPr>
                <w:sz w:val="14"/>
                <w:szCs w:val="14"/>
              </w:rPr>
              <w:t>e</w:t>
            </w:r>
            <w:r w:rsidR="00A52328">
              <w:rPr>
                <w:sz w:val="14"/>
                <w:szCs w:val="14"/>
              </w:rPr>
              <w:t xml:space="preserve"> or accomodate the contents of the HARQ-ACK bundling would need to be discussed</w:t>
            </w:r>
            <w:r w:rsidR="00A1729C">
              <w:rPr>
                <w:sz w:val="14"/>
                <w:szCs w:val="14"/>
              </w:rPr>
              <w:t>.</w:t>
            </w:r>
            <w:bookmarkEnd w:id="50"/>
            <w:bookmarkEnd w:id="51"/>
            <w:bookmarkEnd w:id="52"/>
          </w:p>
          <w:p w14:paraId="317ADA44" w14:textId="51324C50" w:rsidR="00A1729C" w:rsidRPr="00B3729E" w:rsidRDefault="00A1729C" w:rsidP="00F66814">
            <w:pPr>
              <w:pStyle w:val="Observation"/>
              <w:numPr>
                <w:ilvl w:val="0"/>
                <w:numId w:val="0"/>
              </w:numPr>
              <w:rPr>
                <w:sz w:val="14"/>
                <w:szCs w:val="14"/>
              </w:rPr>
            </w:pPr>
            <w:bookmarkStart w:id="53" w:name="_Toc104406443"/>
            <w:bookmarkStart w:id="54" w:name="_Toc106716382"/>
            <w:bookmarkStart w:id="55" w:name="_Toc111112474"/>
            <w:r>
              <w:rPr>
                <w:sz w:val="14"/>
                <w:szCs w:val="14"/>
              </w:rPr>
              <w:t xml:space="preserve">Moreover, if within a given scheduling cycle, the </w:t>
            </w:r>
            <w:r w:rsidRPr="00A52328">
              <w:rPr>
                <w:sz w:val="14"/>
                <w:szCs w:val="14"/>
              </w:rPr>
              <w:t>“</w:t>
            </w:r>
            <w:r>
              <w:rPr>
                <w:sz w:val="14"/>
                <w:szCs w:val="14"/>
              </w:rPr>
              <w:t>HARQ feedback</w:t>
            </w:r>
            <w:r w:rsidRPr="00A52328">
              <w:rPr>
                <w:sz w:val="14"/>
                <w:szCs w:val="14"/>
              </w:rPr>
              <w:t>”</w:t>
            </w:r>
            <w:r>
              <w:rPr>
                <w:sz w:val="14"/>
                <w:szCs w:val="14"/>
              </w:rPr>
              <w:t xml:space="preserve"> is enabled for some HARQ processes and disabled for some other HARQ processes, then the disabling approach would be somehow overriden since PUCCH would have to be transmitted for those HARQ processes for which HARQ feedback was requested.</w:t>
            </w:r>
            <w:bookmarkEnd w:id="53"/>
            <w:bookmarkEnd w:id="54"/>
            <w:bookmarkEnd w:id="55"/>
          </w:p>
        </w:tc>
      </w:tr>
      <w:tr w:rsidR="00831E7D" w14:paraId="3A74C611" w14:textId="77777777" w:rsidTr="00F66814">
        <w:tc>
          <w:tcPr>
            <w:tcW w:w="4814" w:type="dxa"/>
          </w:tcPr>
          <w:p w14:paraId="07ED6DB5" w14:textId="3931EE26" w:rsidR="00831E7D" w:rsidRPr="00B3729E" w:rsidRDefault="00831E7D" w:rsidP="00831E7D">
            <w:pPr>
              <w:pStyle w:val="Observation"/>
              <w:numPr>
                <w:ilvl w:val="0"/>
                <w:numId w:val="0"/>
              </w:numPr>
              <w:jc w:val="left"/>
              <w:rPr>
                <w:sz w:val="14"/>
                <w:szCs w:val="14"/>
              </w:rPr>
            </w:pPr>
            <w:bookmarkStart w:id="56" w:name="_Toc104406444"/>
            <w:bookmarkStart w:id="57" w:name="_Toc106716383"/>
            <w:bookmarkStart w:id="58" w:name="_Toc111112475"/>
            <w:r w:rsidRPr="00B3729E">
              <w:rPr>
                <w:sz w:val="14"/>
                <w:szCs w:val="14"/>
              </w:rPr>
              <w:t>Issue F: NPRACH capacity</w:t>
            </w:r>
            <w:bookmarkEnd w:id="56"/>
            <w:bookmarkEnd w:id="57"/>
            <w:bookmarkEnd w:id="58"/>
          </w:p>
        </w:tc>
        <w:tc>
          <w:tcPr>
            <w:tcW w:w="4815" w:type="dxa"/>
          </w:tcPr>
          <w:p w14:paraId="49C29868" w14:textId="55A82C49" w:rsidR="0014689E" w:rsidRDefault="0014689E" w:rsidP="00F66814">
            <w:pPr>
              <w:pStyle w:val="Observation"/>
              <w:numPr>
                <w:ilvl w:val="0"/>
                <w:numId w:val="0"/>
              </w:numPr>
              <w:rPr>
                <w:sz w:val="14"/>
                <w:szCs w:val="14"/>
              </w:rPr>
            </w:pPr>
            <w:bookmarkStart w:id="59" w:name="_Toc104406445"/>
            <w:bookmarkStart w:id="60" w:name="_Toc106716384"/>
            <w:bookmarkStart w:id="61" w:name="_Toc111112476"/>
            <w:r>
              <w:rPr>
                <w:sz w:val="14"/>
                <w:szCs w:val="14"/>
              </w:rPr>
              <w:t>This issue has to do with the fact that is possible to transmit a Scheduling Request (SR) on PUCCH.</w:t>
            </w:r>
            <w:bookmarkEnd w:id="59"/>
            <w:bookmarkEnd w:id="60"/>
            <w:bookmarkEnd w:id="61"/>
          </w:p>
          <w:p w14:paraId="02D2ED06" w14:textId="33A49569" w:rsidR="0000307B" w:rsidRDefault="0014689E" w:rsidP="00F66814">
            <w:pPr>
              <w:pStyle w:val="Observation"/>
              <w:numPr>
                <w:ilvl w:val="0"/>
                <w:numId w:val="0"/>
              </w:numPr>
              <w:rPr>
                <w:sz w:val="14"/>
                <w:szCs w:val="14"/>
              </w:rPr>
            </w:pPr>
            <w:bookmarkStart w:id="62" w:name="_Toc104406446"/>
            <w:bookmarkStart w:id="63" w:name="_Toc106716385"/>
            <w:bookmarkStart w:id="64" w:name="_Toc111112477"/>
            <w:r>
              <w:rPr>
                <w:sz w:val="14"/>
                <w:szCs w:val="14"/>
              </w:rPr>
              <w:t xml:space="preserve">The problem is that with the HARQ feedback disabled, </w:t>
            </w:r>
            <w:r w:rsidR="00BF752B">
              <w:rPr>
                <w:sz w:val="14"/>
                <w:szCs w:val="14"/>
              </w:rPr>
              <w:t xml:space="preserve">there won’t </w:t>
            </w:r>
            <w:r w:rsidR="00710C6F">
              <w:rPr>
                <w:sz w:val="14"/>
                <w:szCs w:val="14"/>
              </w:rPr>
              <w:t xml:space="preserve">be </w:t>
            </w:r>
            <w:r w:rsidR="00BF752B">
              <w:rPr>
                <w:sz w:val="14"/>
                <w:szCs w:val="14"/>
              </w:rPr>
              <w:t>any UL transmission to ACK/NACK the received data</w:t>
            </w:r>
            <w:r w:rsidR="0000307B">
              <w:rPr>
                <w:sz w:val="14"/>
                <w:szCs w:val="14"/>
              </w:rPr>
              <w:t>, hence it won’t be possible to transmit SR on PUCCH any</w:t>
            </w:r>
            <w:r w:rsidR="00BF752B">
              <w:rPr>
                <w:sz w:val="14"/>
                <w:szCs w:val="14"/>
              </w:rPr>
              <w:t xml:space="preserve"> </w:t>
            </w:r>
            <w:r w:rsidR="0000307B">
              <w:rPr>
                <w:sz w:val="14"/>
                <w:szCs w:val="14"/>
              </w:rPr>
              <w:t>longer.</w:t>
            </w:r>
            <w:bookmarkEnd w:id="62"/>
            <w:bookmarkEnd w:id="63"/>
            <w:bookmarkEnd w:id="64"/>
          </w:p>
          <w:p w14:paraId="3A967E37" w14:textId="34F75D51" w:rsidR="00BF752B" w:rsidRPr="00B3729E" w:rsidRDefault="00BF752B" w:rsidP="00F66814">
            <w:pPr>
              <w:pStyle w:val="Observation"/>
              <w:numPr>
                <w:ilvl w:val="0"/>
                <w:numId w:val="0"/>
              </w:numPr>
              <w:rPr>
                <w:sz w:val="14"/>
                <w:szCs w:val="14"/>
              </w:rPr>
            </w:pPr>
            <w:bookmarkStart w:id="65" w:name="_Toc104406447"/>
            <w:bookmarkStart w:id="66" w:name="_Toc106716386"/>
            <w:bookmarkStart w:id="67" w:name="_Toc111112478"/>
            <w:r>
              <w:rPr>
                <w:sz w:val="14"/>
                <w:szCs w:val="14"/>
              </w:rPr>
              <w:t xml:space="preserve">For not having to perform </w:t>
            </w:r>
            <w:r w:rsidR="00710C6F">
              <w:rPr>
                <w:sz w:val="14"/>
                <w:szCs w:val="14"/>
              </w:rPr>
              <w:t xml:space="preserve">any </w:t>
            </w:r>
            <w:r>
              <w:rPr>
                <w:sz w:val="14"/>
                <w:szCs w:val="14"/>
              </w:rPr>
              <w:t xml:space="preserve">major specification impact, in our opinion the possibility of enabling/disabling </w:t>
            </w:r>
            <w:r w:rsidR="007D75B4">
              <w:rPr>
                <w:sz w:val="14"/>
                <w:szCs w:val="14"/>
              </w:rPr>
              <w:t xml:space="preserve">HARQ feedback </w:t>
            </w:r>
            <w:r>
              <w:rPr>
                <w:sz w:val="14"/>
                <w:szCs w:val="14"/>
              </w:rPr>
              <w:t>can help to alleviate this issue. For example, in scenarios where the disabling approach is used, from time to time the eNodeB can enable the HARQ feedback as to create the opportunity for the UE to incorporate a SR as part of the ACK/NACK response.</w:t>
            </w:r>
            <w:bookmarkEnd w:id="65"/>
            <w:bookmarkEnd w:id="66"/>
            <w:bookmarkEnd w:id="67"/>
          </w:p>
        </w:tc>
      </w:tr>
      <w:tr w:rsidR="00831E7D" w14:paraId="00A9CA93" w14:textId="77777777" w:rsidTr="00F66814">
        <w:tc>
          <w:tcPr>
            <w:tcW w:w="4814" w:type="dxa"/>
          </w:tcPr>
          <w:p w14:paraId="56CCA6E2" w14:textId="78CFBBD5" w:rsidR="00831E7D" w:rsidRPr="00B3729E" w:rsidRDefault="00831E7D" w:rsidP="00831E7D">
            <w:pPr>
              <w:pStyle w:val="Observation"/>
              <w:numPr>
                <w:ilvl w:val="0"/>
                <w:numId w:val="0"/>
              </w:numPr>
              <w:jc w:val="left"/>
              <w:rPr>
                <w:sz w:val="14"/>
                <w:szCs w:val="14"/>
              </w:rPr>
            </w:pPr>
            <w:bookmarkStart w:id="68" w:name="_Toc104406448"/>
            <w:bookmarkStart w:id="69" w:name="_Toc106716387"/>
            <w:bookmarkStart w:id="70" w:name="_Toc111112479"/>
            <w:r w:rsidRPr="00B3729E">
              <w:rPr>
                <w:sz w:val="14"/>
                <w:szCs w:val="14"/>
              </w:rPr>
              <w:t>Issue G: Serving cell/satellite change during data transfer (FFS: for eMTC and/or NB-IoT)</w:t>
            </w:r>
            <w:bookmarkEnd w:id="68"/>
            <w:bookmarkEnd w:id="69"/>
            <w:bookmarkEnd w:id="70"/>
          </w:p>
        </w:tc>
        <w:tc>
          <w:tcPr>
            <w:tcW w:w="4815" w:type="dxa"/>
          </w:tcPr>
          <w:p w14:paraId="22C25259" w14:textId="4BCFFF79" w:rsidR="00831E7D" w:rsidRDefault="00BF752B" w:rsidP="00F66814">
            <w:pPr>
              <w:pStyle w:val="Observation"/>
              <w:numPr>
                <w:ilvl w:val="0"/>
                <w:numId w:val="0"/>
              </w:numPr>
              <w:rPr>
                <w:sz w:val="14"/>
                <w:szCs w:val="14"/>
              </w:rPr>
            </w:pPr>
            <w:bookmarkStart w:id="71" w:name="_Toc104406449"/>
            <w:bookmarkStart w:id="72" w:name="_Toc106716388"/>
            <w:bookmarkStart w:id="73" w:name="_Toc111112480"/>
            <w:r>
              <w:rPr>
                <w:sz w:val="14"/>
                <w:szCs w:val="14"/>
              </w:rPr>
              <w:t xml:space="preserve">This is foreseen to be more problematic when the HARQ feedback has been disabled, since </w:t>
            </w:r>
            <w:r w:rsidR="00496609">
              <w:rPr>
                <w:sz w:val="14"/>
                <w:szCs w:val="14"/>
              </w:rPr>
              <w:t>with no feedback the eNodeB won’t be able to perform adjustments on time, which may result in a radio-link failure.</w:t>
            </w:r>
            <w:bookmarkEnd w:id="71"/>
            <w:bookmarkEnd w:id="72"/>
            <w:bookmarkEnd w:id="73"/>
          </w:p>
          <w:p w14:paraId="042AFFF3" w14:textId="663A6017" w:rsidR="00496609" w:rsidRPr="00B3729E" w:rsidRDefault="00496609" w:rsidP="00F66814">
            <w:pPr>
              <w:pStyle w:val="Observation"/>
              <w:numPr>
                <w:ilvl w:val="0"/>
                <w:numId w:val="0"/>
              </w:numPr>
              <w:rPr>
                <w:sz w:val="14"/>
                <w:szCs w:val="14"/>
              </w:rPr>
            </w:pPr>
            <w:bookmarkStart w:id="74" w:name="_Toc104406450"/>
            <w:bookmarkStart w:id="75" w:name="_Toc106716389"/>
            <w:bookmarkStart w:id="76" w:name="_Toc111112481"/>
            <w:r>
              <w:rPr>
                <w:sz w:val="14"/>
                <w:szCs w:val="14"/>
              </w:rPr>
              <w:t>On the other hand, if the HARQ feedback is enabled then the received feedback may be used by the eNodeB to perform adjustments which will reduce the chances of ending-up in a radio-link failure.</w:t>
            </w:r>
            <w:bookmarkEnd w:id="74"/>
            <w:bookmarkEnd w:id="75"/>
            <w:bookmarkEnd w:id="76"/>
          </w:p>
        </w:tc>
      </w:tr>
      <w:tr w:rsidR="00831E7D" w14:paraId="25DBEF5A" w14:textId="77777777" w:rsidTr="00F66814">
        <w:tc>
          <w:tcPr>
            <w:tcW w:w="4814" w:type="dxa"/>
          </w:tcPr>
          <w:p w14:paraId="64557280" w14:textId="6E15A9EB" w:rsidR="00831E7D" w:rsidRPr="00B3729E" w:rsidRDefault="00831E7D" w:rsidP="00831E7D">
            <w:pPr>
              <w:pStyle w:val="Observation"/>
              <w:numPr>
                <w:ilvl w:val="0"/>
                <w:numId w:val="0"/>
              </w:numPr>
              <w:jc w:val="left"/>
              <w:rPr>
                <w:sz w:val="14"/>
                <w:szCs w:val="14"/>
              </w:rPr>
            </w:pPr>
            <w:bookmarkStart w:id="77" w:name="_Toc104406451"/>
            <w:bookmarkStart w:id="78" w:name="_Toc106716390"/>
            <w:bookmarkStart w:id="79" w:name="_Toc111112482"/>
            <w:r w:rsidRPr="00B3729E">
              <w:rPr>
                <w:sz w:val="14"/>
                <w:szCs w:val="14"/>
              </w:rPr>
              <w:t>Other issues are not excluded</w:t>
            </w:r>
            <w:bookmarkEnd w:id="77"/>
            <w:bookmarkEnd w:id="78"/>
            <w:bookmarkEnd w:id="79"/>
          </w:p>
        </w:tc>
        <w:tc>
          <w:tcPr>
            <w:tcW w:w="4815" w:type="dxa"/>
          </w:tcPr>
          <w:p w14:paraId="3D169196" w14:textId="22BEB106" w:rsidR="00831E7D" w:rsidRPr="00B3729E" w:rsidRDefault="00496609" w:rsidP="00F66814">
            <w:pPr>
              <w:pStyle w:val="Observation"/>
              <w:numPr>
                <w:ilvl w:val="0"/>
                <w:numId w:val="0"/>
              </w:numPr>
              <w:rPr>
                <w:sz w:val="14"/>
                <w:szCs w:val="14"/>
              </w:rPr>
            </w:pPr>
            <w:bookmarkStart w:id="80" w:name="_Toc104406452"/>
            <w:bookmarkStart w:id="81" w:name="_Toc106716391"/>
            <w:bookmarkStart w:id="82" w:name="_Toc111112483"/>
            <w:r>
              <w:rPr>
                <w:sz w:val="14"/>
                <w:szCs w:val="14"/>
              </w:rPr>
              <w:t>N/A</w:t>
            </w:r>
            <w:bookmarkEnd w:id="80"/>
            <w:bookmarkEnd w:id="81"/>
            <w:bookmarkEnd w:id="82"/>
          </w:p>
        </w:tc>
      </w:tr>
    </w:tbl>
    <w:p w14:paraId="67AABDCF" w14:textId="2C9D87AC" w:rsidR="00BE6093" w:rsidRDefault="00BE6093" w:rsidP="00BE6093">
      <w:pPr>
        <w:pStyle w:val="Heading2"/>
      </w:pPr>
      <w:r>
        <w:t>4.2</w:t>
      </w:r>
      <w:r>
        <w:tab/>
        <w:t>NB-IoT on “</w:t>
      </w:r>
      <w:r>
        <w:rPr>
          <w:rFonts w:ascii="Times New Roman" w:hAnsi="Times New Roman"/>
          <w:i/>
          <w:iCs/>
        </w:rPr>
        <w:t>to f</w:t>
      </w:r>
      <w:r w:rsidRPr="003048E2">
        <w:rPr>
          <w:rFonts w:ascii="Times New Roman" w:hAnsi="Times New Roman"/>
          <w:i/>
          <w:iCs/>
        </w:rPr>
        <w:t>urther study the potential issues due to enabling/disabling on HARQ feedback for downlink transmission</w:t>
      </w:r>
      <w:r>
        <w:t>”</w:t>
      </w:r>
    </w:p>
    <w:p w14:paraId="6280F6C3" w14:textId="26314A5F" w:rsidR="00A32C1A" w:rsidRDefault="00A32C1A" w:rsidP="00382419">
      <w:pPr>
        <w:jc w:val="both"/>
      </w:pPr>
      <w:r>
        <w:t>The “</w:t>
      </w:r>
      <w:r w:rsidRPr="001C5B2D">
        <w:rPr>
          <w:i/>
          <w:iCs/>
        </w:rPr>
        <w:t>potential issues due to enabling/disabling on HARQ feedback for downlink transmission</w:t>
      </w:r>
      <w:r>
        <w:t xml:space="preserve">” can be analysed from a high-level perspective on whether there is an issue </w:t>
      </w:r>
      <w:r w:rsidRPr="001C5B2D">
        <w:rPr>
          <w:i/>
          <w:iCs/>
        </w:rPr>
        <w:t>per-se</w:t>
      </w:r>
      <w:r>
        <w:t xml:space="preserve"> from not transmitting NPUSCH Format 2 with the disabling </w:t>
      </w:r>
      <w:r>
        <w:lastRenderedPageBreak/>
        <w:t>approach. Nonetheless, a complete analysis will depend on the actual candidate solution(s) intended to be used to perform the disabling</w:t>
      </w:r>
      <w:r w:rsidR="00EF75D3">
        <w:t xml:space="preserve"> of HARQ feedback</w:t>
      </w:r>
      <w:r>
        <w:t>.</w:t>
      </w:r>
    </w:p>
    <w:p w14:paraId="08876F55" w14:textId="25F1C6DF" w:rsidR="00A32C1A" w:rsidRDefault="00A32C1A" w:rsidP="00A32C1A">
      <w:pPr>
        <w:pStyle w:val="Observation"/>
        <w:ind w:left="1701" w:hanging="1701"/>
      </w:pPr>
      <w:bookmarkStart w:id="83" w:name="_Toc111112484"/>
      <w:r>
        <w:t>The “</w:t>
      </w:r>
      <w:r w:rsidRPr="001C5B2D">
        <w:rPr>
          <w:i/>
          <w:iCs/>
        </w:rPr>
        <w:t>potential issues due to enabling/disabling on HARQ feedback</w:t>
      </w:r>
      <w:r>
        <w:rPr>
          <w:i/>
          <w:iCs/>
        </w:rPr>
        <w:t xml:space="preserve">” </w:t>
      </w:r>
      <w:r>
        <w:t>can in principle be analysed from a high-level perspective on whether no transmitting NPUSCH Format 2 will result to be problematic or unfeasible for a given feature, but the complete analysis will depend on the actual candidate solution(s) perform</w:t>
      </w:r>
      <w:r w:rsidR="00447955">
        <w:t>ing</w:t>
      </w:r>
      <w:r>
        <w:t xml:space="preserve"> the disabling approach.</w:t>
      </w:r>
      <w:bookmarkEnd w:id="83"/>
    </w:p>
    <w:p w14:paraId="4EC6D736" w14:textId="05899700" w:rsidR="00A32C1A" w:rsidRDefault="00A32C1A" w:rsidP="00A32C1A">
      <w:r>
        <w:t>Thus, for “NB-IoT over NTN” our preliminary views on the issues listed in the agreement from RAN1# 109-e are</w:t>
      </w:r>
      <w:r w:rsidR="00665E3E">
        <w:t xml:space="preserve"> provided through “Observation 11”</w:t>
      </w:r>
      <w:r>
        <w:t>:</w:t>
      </w:r>
    </w:p>
    <w:p w14:paraId="3D3B0976" w14:textId="6D821EAD" w:rsidR="00A32C1A" w:rsidRDefault="00A32C1A" w:rsidP="00A32C1A">
      <w:pPr>
        <w:pStyle w:val="Observation"/>
        <w:ind w:left="1701" w:hanging="1701"/>
      </w:pPr>
      <w:bookmarkStart w:id="84" w:name="_Toc111112485"/>
      <w:r>
        <w:t xml:space="preserve">From an “NB-IoT over NTN” perspective, our preliminary view </w:t>
      </w:r>
      <w:r w:rsidRPr="00DA0F44">
        <w:t xml:space="preserve">on the </w:t>
      </w:r>
      <w:r>
        <w:t xml:space="preserve">potential </w:t>
      </w:r>
      <w:r w:rsidRPr="00DA0F44">
        <w:t>issues listed in the agreement from RAN1# 109-e is</w:t>
      </w:r>
      <w:r>
        <w:t xml:space="preserve"> as follows:</w:t>
      </w:r>
      <w:bookmarkEnd w:id="84"/>
    </w:p>
    <w:tbl>
      <w:tblPr>
        <w:tblStyle w:val="TableGrid"/>
        <w:tblW w:w="0" w:type="auto"/>
        <w:tblInd w:w="1701" w:type="dxa"/>
        <w:tblLook w:val="04A0" w:firstRow="1" w:lastRow="0" w:firstColumn="1" w:lastColumn="0" w:noHBand="0" w:noVBand="1"/>
      </w:tblPr>
      <w:tblGrid>
        <w:gridCol w:w="3988"/>
        <w:gridCol w:w="3940"/>
      </w:tblGrid>
      <w:tr w:rsidR="00A32C1A" w14:paraId="669259C6" w14:textId="77777777" w:rsidTr="009739D7">
        <w:tc>
          <w:tcPr>
            <w:tcW w:w="4814" w:type="dxa"/>
          </w:tcPr>
          <w:p w14:paraId="1CE6BB5A" w14:textId="77777777" w:rsidR="00A32C1A" w:rsidRPr="00B3729E" w:rsidRDefault="00A32C1A" w:rsidP="009739D7">
            <w:pPr>
              <w:pStyle w:val="Observation"/>
              <w:numPr>
                <w:ilvl w:val="0"/>
                <w:numId w:val="0"/>
              </w:numPr>
              <w:jc w:val="center"/>
              <w:rPr>
                <w:sz w:val="14"/>
                <w:szCs w:val="14"/>
              </w:rPr>
            </w:pPr>
            <w:bookmarkStart w:id="85" w:name="_Toc104406455"/>
            <w:bookmarkStart w:id="86" w:name="_Toc106716394"/>
            <w:bookmarkStart w:id="87" w:name="_Toc111112486"/>
            <w:r w:rsidRPr="00B3729E">
              <w:rPr>
                <w:sz w:val="14"/>
                <w:szCs w:val="14"/>
              </w:rPr>
              <w:t>Listed issue as per RAN1# 109-e</w:t>
            </w:r>
            <w:bookmarkEnd w:id="85"/>
            <w:bookmarkEnd w:id="86"/>
            <w:bookmarkEnd w:id="87"/>
          </w:p>
        </w:tc>
        <w:tc>
          <w:tcPr>
            <w:tcW w:w="4815" w:type="dxa"/>
          </w:tcPr>
          <w:p w14:paraId="5AAE2A1C" w14:textId="77777777" w:rsidR="00A32C1A" w:rsidRPr="00B3729E" w:rsidRDefault="00A32C1A" w:rsidP="009739D7">
            <w:pPr>
              <w:pStyle w:val="Observation"/>
              <w:numPr>
                <w:ilvl w:val="0"/>
                <w:numId w:val="0"/>
              </w:numPr>
              <w:jc w:val="center"/>
              <w:rPr>
                <w:sz w:val="14"/>
                <w:szCs w:val="14"/>
              </w:rPr>
            </w:pPr>
            <w:bookmarkStart w:id="88" w:name="_Toc104406456"/>
            <w:bookmarkStart w:id="89" w:name="_Toc106716395"/>
            <w:bookmarkStart w:id="90" w:name="_Toc111112487"/>
            <w:r w:rsidRPr="00B3729E">
              <w:rPr>
                <w:sz w:val="14"/>
                <w:szCs w:val="14"/>
              </w:rPr>
              <w:t>Preliminary view</w:t>
            </w:r>
            <w:bookmarkEnd w:id="88"/>
            <w:bookmarkEnd w:id="89"/>
            <w:bookmarkEnd w:id="90"/>
          </w:p>
        </w:tc>
      </w:tr>
      <w:tr w:rsidR="00A32C1A" w14:paraId="1A41497F" w14:textId="77777777" w:rsidTr="009739D7">
        <w:tc>
          <w:tcPr>
            <w:tcW w:w="4814" w:type="dxa"/>
          </w:tcPr>
          <w:p w14:paraId="178AE676" w14:textId="77777777" w:rsidR="00A32C1A" w:rsidRPr="00B3729E" w:rsidRDefault="00A32C1A" w:rsidP="009739D7">
            <w:pPr>
              <w:pStyle w:val="Observation"/>
              <w:numPr>
                <w:ilvl w:val="0"/>
                <w:numId w:val="0"/>
              </w:numPr>
              <w:jc w:val="left"/>
              <w:rPr>
                <w:sz w:val="14"/>
                <w:szCs w:val="14"/>
              </w:rPr>
            </w:pPr>
            <w:bookmarkStart w:id="91" w:name="_Toc104406457"/>
            <w:bookmarkStart w:id="92" w:name="_Toc106716396"/>
            <w:bookmarkStart w:id="93" w:name="_Toc111112488"/>
            <w:r w:rsidRPr="00B3729E">
              <w:rPr>
                <w:sz w:val="14"/>
                <w:szCs w:val="14"/>
              </w:rPr>
              <w:t>Issue A: SPS PDSCH</w:t>
            </w:r>
            <w:bookmarkEnd w:id="91"/>
            <w:bookmarkEnd w:id="92"/>
            <w:bookmarkEnd w:id="93"/>
          </w:p>
        </w:tc>
        <w:tc>
          <w:tcPr>
            <w:tcW w:w="4815" w:type="dxa"/>
          </w:tcPr>
          <w:p w14:paraId="46B7F510" w14:textId="04CC71DC" w:rsidR="00A32C1A" w:rsidRPr="00B3729E" w:rsidRDefault="00123D66" w:rsidP="009739D7">
            <w:pPr>
              <w:pStyle w:val="Observation"/>
              <w:numPr>
                <w:ilvl w:val="0"/>
                <w:numId w:val="0"/>
              </w:numPr>
              <w:rPr>
                <w:sz w:val="14"/>
                <w:szCs w:val="14"/>
              </w:rPr>
            </w:pPr>
            <w:bookmarkStart w:id="94" w:name="_Toc104406458"/>
            <w:bookmarkStart w:id="95" w:name="_Toc106716397"/>
            <w:bookmarkStart w:id="96" w:name="_Toc111112489"/>
            <w:r>
              <w:rPr>
                <w:sz w:val="14"/>
                <w:szCs w:val="14"/>
              </w:rPr>
              <w:t xml:space="preserve">The agreement was for studying </w:t>
            </w:r>
            <w:r w:rsidRPr="00B3729E">
              <w:rPr>
                <w:sz w:val="14"/>
                <w:szCs w:val="14"/>
              </w:rPr>
              <w:t>“</w:t>
            </w:r>
            <w:r w:rsidRPr="00123D66">
              <w:rPr>
                <w:i/>
                <w:iCs/>
                <w:sz w:val="14"/>
                <w:szCs w:val="14"/>
              </w:rPr>
              <w:t>potential issues due to enabling/disabling on HARQ feedback for downlink transmission</w:t>
            </w:r>
            <w:r w:rsidRPr="00B3729E">
              <w:rPr>
                <w:sz w:val="14"/>
                <w:szCs w:val="14"/>
              </w:rPr>
              <w:t>”</w:t>
            </w:r>
            <w:r>
              <w:rPr>
                <w:sz w:val="14"/>
                <w:szCs w:val="14"/>
              </w:rPr>
              <w:t>, in NB-IoT SPS is not available for DL scheduling (it is not in DCI Format N1), thus this issue is for LTE-MTC.</w:t>
            </w:r>
            <w:bookmarkEnd w:id="94"/>
            <w:bookmarkEnd w:id="95"/>
            <w:bookmarkEnd w:id="96"/>
          </w:p>
        </w:tc>
      </w:tr>
      <w:tr w:rsidR="00A32C1A" w14:paraId="76C7EEC9" w14:textId="77777777" w:rsidTr="009739D7">
        <w:tc>
          <w:tcPr>
            <w:tcW w:w="4814" w:type="dxa"/>
          </w:tcPr>
          <w:p w14:paraId="55AD4914" w14:textId="77777777" w:rsidR="00A32C1A" w:rsidRPr="00B3729E" w:rsidRDefault="00A32C1A" w:rsidP="009739D7">
            <w:pPr>
              <w:pStyle w:val="Observation"/>
              <w:numPr>
                <w:ilvl w:val="0"/>
                <w:numId w:val="0"/>
              </w:numPr>
              <w:jc w:val="left"/>
              <w:rPr>
                <w:sz w:val="14"/>
                <w:szCs w:val="14"/>
              </w:rPr>
            </w:pPr>
            <w:bookmarkStart w:id="97" w:name="_Toc104406459"/>
            <w:bookmarkStart w:id="98" w:name="_Toc106716398"/>
            <w:bookmarkStart w:id="99" w:name="_Toc111112490"/>
            <w:r w:rsidRPr="00B3729E">
              <w:rPr>
                <w:sz w:val="14"/>
                <w:szCs w:val="14"/>
              </w:rPr>
              <w:t>Issue B: (N)PDSCH/(N)PDCCH scheduling restriction</w:t>
            </w:r>
            <w:bookmarkEnd w:id="97"/>
            <w:bookmarkEnd w:id="98"/>
            <w:bookmarkEnd w:id="99"/>
          </w:p>
        </w:tc>
        <w:tc>
          <w:tcPr>
            <w:tcW w:w="4815" w:type="dxa"/>
          </w:tcPr>
          <w:p w14:paraId="73D96A17" w14:textId="6D789A5D" w:rsidR="00A32C1A" w:rsidRPr="00B3729E" w:rsidRDefault="00A32C1A" w:rsidP="009739D7">
            <w:pPr>
              <w:pStyle w:val="Observation"/>
              <w:numPr>
                <w:ilvl w:val="0"/>
                <w:numId w:val="0"/>
              </w:numPr>
              <w:rPr>
                <w:sz w:val="14"/>
                <w:szCs w:val="14"/>
              </w:rPr>
            </w:pPr>
            <w:bookmarkStart w:id="100" w:name="_Toc104406460"/>
            <w:bookmarkStart w:id="101" w:name="_Toc106716399"/>
            <w:bookmarkStart w:id="102" w:name="_Toc111112491"/>
            <w:r w:rsidRPr="00B3729E">
              <w:rPr>
                <w:sz w:val="14"/>
                <w:szCs w:val="14"/>
              </w:rPr>
              <w:t xml:space="preserve">This issue has to do with “legacy processing delays”. Those “legacy processing delays” </w:t>
            </w:r>
            <w:bookmarkStart w:id="103" w:name="_Hlk104376978"/>
            <w:r w:rsidRPr="00B3729E">
              <w:rPr>
                <w:sz w:val="14"/>
                <w:szCs w:val="14"/>
              </w:rPr>
              <w:t>are an important part of what makes the IoT technologies hav</w:t>
            </w:r>
            <w:r w:rsidR="007B242B">
              <w:rPr>
                <w:sz w:val="14"/>
                <w:szCs w:val="14"/>
              </w:rPr>
              <w:t>ing</w:t>
            </w:r>
            <w:r w:rsidRPr="00B3729E">
              <w:rPr>
                <w:sz w:val="14"/>
                <w:szCs w:val="14"/>
              </w:rPr>
              <w:t xml:space="preserve"> a low complexity and </w:t>
            </w:r>
            <w:r>
              <w:rPr>
                <w:sz w:val="14"/>
                <w:szCs w:val="14"/>
              </w:rPr>
              <w:t xml:space="preserve">a </w:t>
            </w:r>
            <w:r w:rsidRPr="00B3729E">
              <w:rPr>
                <w:sz w:val="14"/>
                <w:szCs w:val="14"/>
              </w:rPr>
              <w:t>low cost</w:t>
            </w:r>
            <w:bookmarkEnd w:id="103"/>
            <w:r w:rsidRPr="00B3729E">
              <w:rPr>
                <w:sz w:val="14"/>
                <w:szCs w:val="14"/>
              </w:rPr>
              <w:t>, thus</w:t>
            </w:r>
            <w:r>
              <w:rPr>
                <w:sz w:val="14"/>
                <w:szCs w:val="14"/>
              </w:rPr>
              <w:t xml:space="preserve"> in our view any design to </w:t>
            </w:r>
            <w:r w:rsidRPr="00B3729E">
              <w:rPr>
                <w:sz w:val="14"/>
                <w:szCs w:val="14"/>
              </w:rPr>
              <w:t>“</w:t>
            </w:r>
            <w:r>
              <w:rPr>
                <w:sz w:val="14"/>
                <w:szCs w:val="14"/>
              </w:rPr>
              <w:t>disabling the HARQ feedback</w:t>
            </w:r>
            <w:r w:rsidRPr="00B3729E">
              <w:rPr>
                <w:sz w:val="14"/>
                <w:szCs w:val="14"/>
              </w:rPr>
              <w:t>”</w:t>
            </w:r>
            <w:r>
              <w:rPr>
                <w:sz w:val="14"/>
                <w:szCs w:val="14"/>
              </w:rPr>
              <w:t xml:space="preserve"> should aim to keep the legacy </w:t>
            </w:r>
            <w:r w:rsidRPr="00B3729E">
              <w:rPr>
                <w:sz w:val="14"/>
                <w:szCs w:val="14"/>
              </w:rPr>
              <w:t>“legacy processing delays”</w:t>
            </w:r>
            <w:r>
              <w:rPr>
                <w:sz w:val="14"/>
                <w:szCs w:val="14"/>
              </w:rPr>
              <w:t xml:space="preserve"> unmodified</w:t>
            </w:r>
            <w:r w:rsidRPr="00B3729E">
              <w:rPr>
                <w:sz w:val="14"/>
                <w:szCs w:val="14"/>
              </w:rPr>
              <w:t>.</w:t>
            </w:r>
            <w:r>
              <w:rPr>
                <w:sz w:val="14"/>
                <w:szCs w:val="14"/>
              </w:rPr>
              <w:t xml:space="preserve"> We elaborate more on it in section 5</w:t>
            </w:r>
            <w:r w:rsidR="00382419">
              <w:rPr>
                <w:sz w:val="14"/>
                <w:szCs w:val="14"/>
              </w:rPr>
              <w:t>.2</w:t>
            </w:r>
            <w:r>
              <w:rPr>
                <w:sz w:val="14"/>
                <w:szCs w:val="14"/>
              </w:rPr>
              <w:t>.</w:t>
            </w:r>
            <w:bookmarkEnd w:id="100"/>
            <w:bookmarkEnd w:id="101"/>
            <w:bookmarkEnd w:id="102"/>
          </w:p>
        </w:tc>
      </w:tr>
      <w:tr w:rsidR="00A32C1A" w14:paraId="44D9A333" w14:textId="77777777" w:rsidTr="009739D7">
        <w:tc>
          <w:tcPr>
            <w:tcW w:w="4814" w:type="dxa"/>
          </w:tcPr>
          <w:p w14:paraId="6F208DBA" w14:textId="77777777" w:rsidR="00A32C1A" w:rsidRPr="00B3729E" w:rsidRDefault="00A32C1A" w:rsidP="009739D7">
            <w:pPr>
              <w:pStyle w:val="Observation"/>
              <w:numPr>
                <w:ilvl w:val="0"/>
                <w:numId w:val="0"/>
              </w:numPr>
              <w:jc w:val="left"/>
              <w:rPr>
                <w:sz w:val="14"/>
                <w:szCs w:val="14"/>
              </w:rPr>
            </w:pPr>
            <w:bookmarkStart w:id="104" w:name="_Toc104406461"/>
            <w:bookmarkStart w:id="105" w:name="_Toc106716400"/>
            <w:bookmarkStart w:id="106" w:name="_Toc111112492"/>
            <w:r w:rsidRPr="00B3729E">
              <w:rPr>
                <w:sz w:val="14"/>
                <w:szCs w:val="14"/>
              </w:rPr>
              <w:t>Issue C: HARQ feedback for scheduling multiple TB</w:t>
            </w:r>
            <w:bookmarkEnd w:id="104"/>
            <w:bookmarkEnd w:id="105"/>
            <w:bookmarkEnd w:id="106"/>
          </w:p>
        </w:tc>
        <w:tc>
          <w:tcPr>
            <w:tcW w:w="4815" w:type="dxa"/>
          </w:tcPr>
          <w:p w14:paraId="49BABB89" w14:textId="06AD9AB2" w:rsidR="00A65E4F" w:rsidRPr="00C72B37" w:rsidRDefault="00A65E4F" w:rsidP="009739D7">
            <w:pPr>
              <w:pStyle w:val="Observation"/>
              <w:numPr>
                <w:ilvl w:val="0"/>
                <w:numId w:val="0"/>
              </w:numPr>
              <w:rPr>
                <w:sz w:val="14"/>
                <w:szCs w:val="14"/>
              </w:rPr>
            </w:pPr>
            <w:bookmarkStart w:id="107" w:name="_Toc104406462"/>
            <w:bookmarkStart w:id="108" w:name="_Toc106716401"/>
            <w:bookmarkStart w:id="109" w:name="_Toc111112493"/>
            <w:r w:rsidRPr="00C72B37">
              <w:rPr>
                <w:sz w:val="14"/>
                <w:szCs w:val="14"/>
              </w:rPr>
              <w:t>Multi-TB grant allows scheduling of up to two transport blocks (TB) with a single DCI for a downlink unicast transmission.</w:t>
            </w:r>
            <w:bookmarkEnd w:id="107"/>
            <w:bookmarkEnd w:id="108"/>
            <w:bookmarkEnd w:id="109"/>
          </w:p>
          <w:p w14:paraId="039D4E83" w14:textId="57B754A6" w:rsidR="00A32C1A" w:rsidRPr="00B3729E" w:rsidRDefault="00A32C1A" w:rsidP="009739D7">
            <w:pPr>
              <w:pStyle w:val="Observation"/>
              <w:numPr>
                <w:ilvl w:val="0"/>
                <w:numId w:val="0"/>
              </w:numPr>
              <w:rPr>
                <w:sz w:val="14"/>
                <w:szCs w:val="14"/>
              </w:rPr>
            </w:pPr>
            <w:bookmarkStart w:id="110" w:name="_Toc104406463"/>
            <w:bookmarkStart w:id="111" w:name="_Toc106716402"/>
            <w:bookmarkStart w:id="112" w:name="_Toc111112494"/>
            <w:r w:rsidRPr="00C72B37">
              <w:rPr>
                <w:sz w:val="14"/>
                <w:szCs w:val="14"/>
              </w:rPr>
              <w:t xml:space="preserve">In principle, </w:t>
            </w:r>
            <w:r w:rsidR="00FC7099">
              <w:rPr>
                <w:sz w:val="14"/>
                <w:szCs w:val="14"/>
              </w:rPr>
              <w:t>when</w:t>
            </w:r>
            <w:r w:rsidR="00FC7099" w:rsidRPr="00C72B37">
              <w:rPr>
                <w:sz w:val="14"/>
                <w:szCs w:val="14"/>
              </w:rPr>
              <w:t xml:space="preserve"> HARQ feedback</w:t>
            </w:r>
            <w:r w:rsidR="00FC7099">
              <w:rPr>
                <w:sz w:val="14"/>
                <w:szCs w:val="14"/>
              </w:rPr>
              <w:t xml:space="preserve"> is disabled, </w:t>
            </w:r>
            <w:r w:rsidRPr="00C72B37">
              <w:rPr>
                <w:sz w:val="14"/>
                <w:szCs w:val="14"/>
              </w:rPr>
              <w:t xml:space="preserve">no issue is foreseen on Multi-TB grant nor Single-TB grant from not transmitting </w:t>
            </w:r>
            <w:r w:rsidR="00CF70F8" w:rsidRPr="00C72B37">
              <w:rPr>
                <w:sz w:val="14"/>
                <w:szCs w:val="14"/>
              </w:rPr>
              <w:t>NPUSCH Format 2</w:t>
            </w:r>
            <w:r w:rsidR="007B242B">
              <w:rPr>
                <w:sz w:val="14"/>
                <w:szCs w:val="14"/>
              </w:rPr>
              <w:t>, at least</w:t>
            </w:r>
            <w:r w:rsidRPr="00C72B37">
              <w:rPr>
                <w:sz w:val="14"/>
                <w:szCs w:val="14"/>
              </w:rPr>
              <w:t xml:space="preserve"> </w:t>
            </w:r>
            <w:r w:rsidR="007B242B">
              <w:rPr>
                <w:sz w:val="14"/>
                <w:szCs w:val="14"/>
              </w:rPr>
              <w:t xml:space="preserve">not </w:t>
            </w:r>
            <w:r w:rsidRPr="00C72B37">
              <w:rPr>
                <w:sz w:val="14"/>
                <w:szCs w:val="14"/>
              </w:rPr>
              <w:t>as long as the “legacy processing delays” are kept unmodified.</w:t>
            </w:r>
            <w:bookmarkEnd w:id="110"/>
            <w:bookmarkEnd w:id="111"/>
            <w:bookmarkEnd w:id="112"/>
            <w:r w:rsidRPr="00CF70F8">
              <w:rPr>
                <w:color w:val="ED7D31" w:themeColor="accent2"/>
                <w:sz w:val="14"/>
                <w:szCs w:val="14"/>
              </w:rPr>
              <w:t xml:space="preserve">  </w:t>
            </w:r>
          </w:p>
        </w:tc>
      </w:tr>
      <w:tr w:rsidR="00A32C1A" w14:paraId="348478D5" w14:textId="77777777" w:rsidTr="009739D7">
        <w:tc>
          <w:tcPr>
            <w:tcW w:w="4814" w:type="dxa"/>
          </w:tcPr>
          <w:p w14:paraId="6C56AA6D" w14:textId="77777777" w:rsidR="00A32C1A" w:rsidRPr="00B3729E" w:rsidRDefault="00A32C1A" w:rsidP="009739D7">
            <w:pPr>
              <w:pStyle w:val="Observation"/>
              <w:numPr>
                <w:ilvl w:val="0"/>
                <w:numId w:val="0"/>
              </w:numPr>
              <w:jc w:val="left"/>
              <w:rPr>
                <w:sz w:val="14"/>
                <w:szCs w:val="14"/>
              </w:rPr>
            </w:pPr>
            <w:bookmarkStart w:id="113" w:name="_Toc104406464"/>
            <w:bookmarkStart w:id="114" w:name="_Toc106716403"/>
            <w:bookmarkStart w:id="115" w:name="_Toc111112495"/>
            <w:r w:rsidRPr="00B3729E">
              <w:rPr>
                <w:sz w:val="14"/>
                <w:szCs w:val="14"/>
              </w:rPr>
              <w:t>Issue D: HARQ bundling for eMTC HD-FDD</w:t>
            </w:r>
            <w:bookmarkEnd w:id="113"/>
            <w:bookmarkEnd w:id="114"/>
            <w:bookmarkEnd w:id="115"/>
          </w:p>
        </w:tc>
        <w:tc>
          <w:tcPr>
            <w:tcW w:w="4815" w:type="dxa"/>
          </w:tcPr>
          <w:p w14:paraId="2CC8F5A5" w14:textId="7890AEE3" w:rsidR="00A32C1A" w:rsidRPr="00B3729E" w:rsidRDefault="00CF70F8" w:rsidP="009739D7">
            <w:pPr>
              <w:pStyle w:val="Observation"/>
              <w:numPr>
                <w:ilvl w:val="0"/>
                <w:numId w:val="0"/>
              </w:numPr>
              <w:rPr>
                <w:sz w:val="14"/>
                <w:szCs w:val="14"/>
              </w:rPr>
            </w:pPr>
            <w:bookmarkStart w:id="116" w:name="_Toc104406465"/>
            <w:bookmarkStart w:id="117" w:name="_Toc106716404"/>
            <w:bookmarkStart w:id="118" w:name="_Toc111112496"/>
            <w:r>
              <w:rPr>
                <w:sz w:val="14"/>
                <w:szCs w:val="14"/>
              </w:rPr>
              <w:t xml:space="preserve">Issue </w:t>
            </w:r>
            <w:r w:rsidR="00297C57">
              <w:rPr>
                <w:sz w:val="14"/>
                <w:szCs w:val="14"/>
              </w:rPr>
              <w:t xml:space="preserve">D is </w:t>
            </w:r>
            <w:r>
              <w:rPr>
                <w:sz w:val="14"/>
                <w:szCs w:val="14"/>
              </w:rPr>
              <w:t xml:space="preserve">applicable </w:t>
            </w:r>
            <w:r w:rsidR="00382419">
              <w:rPr>
                <w:sz w:val="14"/>
                <w:szCs w:val="14"/>
              </w:rPr>
              <w:t>for</w:t>
            </w:r>
            <w:r>
              <w:rPr>
                <w:sz w:val="14"/>
                <w:szCs w:val="14"/>
              </w:rPr>
              <w:t xml:space="preserve"> LTE-MTC only.</w:t>
            </w:r>
            <w:bookmarkEnd w:id="116"/>
            <w:bookmarkEnd w:id="117"/>
            <w:bookmarkEnd w:id="118"/>
          </w:p>
        </w:tc>
      </w:tr>
      <w:tr w:rsidR="00A32C1A" w14:paraId="444D160F" w14:textId="77777777" w:rsidTr="009739D7">
        <w:tc>
          <w:tcPr>
            <w:tcW w:w="4814" w:type="dxa"/>
          </w:tcPr>
          <w:p w14:paraId="591C5E91" w14:textId="77777777" w:rsidR="00A32C1A" w:rsidRPr="00B3729E" w:rsidRDefault="00A32C1A" w:rsidP="009739D7">
            <w:pPr>
              <w:pStyle w:val="Observation"/>
              <w:numPr>
                <w:ilvl w:val="0"/>
                <w:numId w:val="0"/>
              </w:numPr>
              <w:jc w:val="left"/>
              <w:rPr>
                <w:sz w:val="14"/>
                <w:szCs w:val="14"/>
              </w:rPr>
            </w:pPr>
            <w:bookmarkStart w:id="119" w:name="_Toc104406466"/>
            <w:bookmarkStart w:id="120" w:name="_Toc106716405"/>
            <w:bookmarkStart w:id="121" w:name="_Toc111112497"/>
            <w:r w:rsidRPr="00B3729E">
              <w:rPr>
                <w:sz w:val="14"/>
                <w:szCs w:val="14"/>
              </w:rPr>
              <w:t>Issue F: NPRACH capacity</w:t>
            </w:r>
            <w:bookmarkEnd w:id="119"/>
            <w:bookmarkEnd w:id="120"/>
            <w:bookmarkEnd w:id="121"/>
          </w:p>
        </w:tc>
        <w:tc>
          <w:tcPr>
            <w:tcW w:w="4815" w:type="dxa"/>
          </w:tcPr>
          <w:p w14:paraId="3064BCB0" w14:textId="4FF8CCF0" w:rsidR="00A32C1A" w:rsidRDefault="00A32C1A" w:rsidP="009739D7">
            <w:pPr>
              <w:pStyle w:val="Observation"/>
              <w:numPr>
                <w:ilvl w:val="0"/>
                <w:numId w:val="0"/>
              </w:numPr>
              <w:rPr>
                <w:sz w:val="14"/>
                <w:szCs w:val="14"/>
              </w:rPr>
            </w:pPr>
            <w:bookmarkStart w:id="122" w:name="_Toc104406467"/>
            <w:bookmarkStart w:id="123" w:name="_Toc106716406"/>
            <w:bookmarkStart w:id="124" w:name="_Toc111112498"/>
            <w:r>
              <w:rPr>
                <w:sz w:val="14"/>
                <w:szCs w:val="14"/>
              </w:rPr>
              <w:t xml:space="preserve">This issue has to do with the fact that is possible to transmit a Scheduling Request (SR) on </w:t>
            </w:r>
            <w:r w:rsidR="00CF70F8">
              <w:rPr>
                <w:sz w:val="14"/>
                <w:szCs w:val="14"/>
              </w:rPr>
              <w:t>NPUSCH Format 2</w:t>
            </w:r>
            <w:r>
              <w:rPr>
                <w:sz w:val="14"/>
                <w:szCs w:val="14"/>
              </w:rPr>
              <w:t>.</w:t>
            </w:r>
            <w:bookmarkEnd w:id="122"/>
            <w:bookmarkEnd w:id="123"/>
            <w:bookmarkEnd w:id="124"/>
          </w:p>
          <w:p w14:paraId="23A787E0" w14:textId="3EED074E" w:rsidR="00A32C1A" w:rsidRDefault="00A32C1A" w:rsidP="009739D7">
            <w:pPr>
              <w:pStyle w:val="Observation"/>
              <w:numPr>
                <w:ilvl w:val="0"/>
                <w:numId w:val="0"/>
              </w:numPr>
              <w:rPr>
                <w:sz w:val="14"/>
                <w:szCs w:val="14"/>
              </w:rPr>
            </w:pPr>
            <w:bookmarkStart w:id="125" w:name="_Toc104406468"/>
            <w:bookmarkStart w:id="126" w:name="_Toc106716407"/>
            <w:bookmarkStart w:id="127" w:name="_Toc111112499"/>
            <w:r>
              <w:rPr>
                <w:sz w:val="14"/>
                <w:szCs w:val="14"/>
              </w:rPr>
              <w:t xml:space="preserve">The problem is that with the HARQ feedback disabled, there won’t </w:t>
            </w:r>
            <w:r w:rsidR="002256FE">
              <w:rPr>
                <w:sz w:val="14"/>
                <w:szCs w:val="14"/>
              </w:rPr>
              <w:t xml:space="preserve">be </w:t>
            </w:r>
            <w:r>
              <w:rPr>
                <w:sz w:val="14"/>
                <w:szCs w:val="14"/>
              </w:rPr>
              <w:t xml:space="preserve">any UL transmission to ACK/NACK the received data, hence it won’t be possible to transmit SR on </w:t>
            </w:r>
            <w:r w:rsidR="00CF70F8">
              <w:rPr>
                <w:sz w:val="14"/>
                <w:szCs w:val="14"/>
              </w:rPr>
              <w:t>NPUSCH Format 2</w:t>
            </w:r>
            <w:r>
              <w:rPr>
                <w:sz w:val="14"/>
                <w:szCs w:val="14"/>
              </w:rPr>
              <w:t xml:space="preserve"> any longer.</w:t>
            </w:r>
            <w:bookmarkEnd w:id="125"/>
            <w:bookmarkEnd w:id="126"/>
            <w:bookmarkEnd w:id="127"/>
          </w:p>
          <w:p w14:paraId="6D147157" w14:textId="0F7B4203" w:rsidR="00A32C1A" w:rsidRPr="00B3729E" w:rsidRDefault="00A32C1A" w:rsidP="009739D7">
            <w:pPr>
              <w:pStyle w:val="Observation"/>
              <w:numPr>
                <w:ilvl w:val="0"/>
                <w:numId w:val="0"/>
              </w:numPr>
              <w:rPr>
                <w:sz w:val="14"/>
                <w:szCs w:val="14"/>
              </w:rPr>
            </w:pPr>
            <w:bookmarkStart w:id="128" w:name="_Toc104406469"/>
            <w:bookmarkStart w:id="129" w:name="_Toc106716408"/>
            <w:bookmarkStart w:id="130" w:name="_Toc111112500"/>
            <w:r>
              <w:rPr>
                <w:sz w:val="14"/>
                <w:szCs w:val="14"/>
              </w:rPr>
              <w:t xml:space="preserve">For not having to perform </w:t>
            </w:r>
            <w:r w:rsidR="00297C57">
              <w:rPr>
                <w:sz w:val="14"/>
                <w:szCs w:val="14"/>
              </w:rPr>
              <w:t xml:space="preserve">any </w:t>
            </w:r>
            <w:r>
              <w:rPr>
                <w:sz w:val="14"/>
                <w:szCs w:val="14"/>
              </w:rPr>
              <w:t>major specification impact, in our opinion the possibility of enabling/disabling</w:t>
            </w:r>
            <w:r w:rsidR="00297C57">
              <w:rPr>
                <w:sz w:val="14"/>
                <w:szCs w:val="14"/>
              </w:rPr>
              <w:t xml:space="preserve"> HARQ feedback</w:t>
            </w:r>
            <w:r>
              <w:rPr>
                <w:sz w:val="14"/>
                <w:szCs w:val="14"/>
              </w:rPr>
              <w:t xml:space="preserve"> can help to alleviate this issue. For example, in scenarios where the disabling approach is used, from time to time the eNodeB can enable the HARQ feedback as to create the opportunity for the UE to incorporate a SR as part of the ACK/NACK response.</w:t>
            </w:r>
            <w:bookmarkEnd w:id="128"/>
            <w:bookmarkEnd w:id="129"/>
            <w:bookmarkEnd w:id="130"/>
          </w:p>
        </w:tc>
      </w:tr>
      <w:tr w:rsidR="00A32C1A" w14:paraId="51D51D35" w14:textId="77777777" w:rsidTr="009739D7">
        <w:tc>
          <w:tcPr>
            <w:tcW w:w="4814" w:type="dxa"/>
          </w:tcPr>
          <w:p w14:paraId="5C54163D" w14:textId="77777777" w:rsidR="00A32C1A" w:rsidRPr="00B3729E" w:rsidRDefault="00A32C1A" w:rsidP="009739D7">
            <w:pPr>
              <w:pStyle w:val="Observation"/>
              <w:numPr>
                <w:ilvl w:val="0"/>
                <w:numId w:val="0"/>
              </w:numPr>
              <w:jc w:val="left"/>
              <w:rPr>
                <w:sz w:val="14"/>
                <w:szCs w:val="14"/>
              </w:rPr>
            </w:pPr>
            <w:bookmarkStart w:id="131" w:name="_Toc104406470"/>
            <w:bookmarkStart w:id="132" w:name="_Toc106716409"/>
            <w:bookmarkStart w:id="133" w:name="_Toc111112501"/>
            <w:r w:rsidRPr="00B3729E">
              <w:rPr>
                <w:sz w:val="14"/>
                <w:szCs w:val="14"/>
              </w:rPr>
              <w:t>Issue G: Serving cell/satellite change during data transfer (FFS: for eMTC and/or NB-IoT)</w:t>
            </w:r>
            <w:bookmarkEnd w:id="131"/>
            <w:bookmarkEnd w:id="132"/>
            <w:bookmarkEnd w:id="133"/>
          </w:p>
        </w:tc>
        <w:tc>
          <w:tcPr>
            <w:tcW w:w="4815" w:type="dxa"/>
          </w:tcPr>
          <w:p w14:paraId="20E6055E" w14:textId="77777777" w:rsidR="00A32C1A" w:rsidRDefault="00A32C1A" w:rsidP="009739D7">
            <w:pPr>
              <w:pStyle w:val="Observation"/>
              <w:numPr>
                <w:ilvl w:val="0"/>
                <w:numId w:val="0"/>
              </w:numPr>
              <w:rPr>
                <w:sz w:val="14"/>
                <w:szCs w:val="14"/>
              </w:rPr>
            </w:pPr>
            <w:bookmarkStart w:id="134" w:name="_Toc104406471"/>
            <w:bookmarkStart w:id="135" w:name="_Toc106716410"/>
            <w:bookmarkStart w:id="136" w:name="_Toc111112502"/>
            <w:r>
              <w:rPr>
                <w:sz w:val="14"/>
                <w:szCs w:val="14"/>
              </w:rPr>
              <w:t>This is foreseen to be more problematic when the HARQ feedback has been disabled, since with no feedback the eNodeB won’t be able to perform adjustments on time, which may result in a radio-link failure.</w:t>
            </w:r>
            <w:bookmarkEnd w:id="134"/>
            <w:bookmarkEnd w:id="135"/>
            <w:bookmarkEnd w:id="136"/>
          </w:p>
          <w:p w14:paraId="3368AD82" w14:textId="77777777" w:rsidR="00A32C1A" w:rsidRPr="00B3729E" w:rsidRDefault="00A32C1A" w:rsidP="009739D7">
            <w:pPr>
              <w:pStyle w:val="Observation"/>
              <w:numPr>
                <w:ilvl w:val="0"/>
                <w:numId w:val="0"/>
              </w:numPr>
              <w:rPr>
                <w:sz w:val="14"/>
                <w:szCs w:val="14"/>
              </w:rPr>
            </w:pPr>
            <w:bookmarkStart w:id="137" w:name="_Toc104406472"/>
            <w:bookmarkStart w:id="138" w:name="_Toc106716411"/>
            <w:bookmarkStart w:id="139" w:name="_Toc111112503"/>
            <w:r>
              <w:rPr>
                <w:sz w:val="14"/>
                <w:szCs w:val="14"/>
              </w:rPr>
              <w:t>On the other hand, if the HARQ feedback is enabled then the received feedback may be used by the eNodeB to perform adjustments which will reduce the chances of ending-up in a radio-link failure.</w:t>
            </w:r>
            <w:bookmarkEnd w:id="137"/>
            <w:bookmarkEnd w:id="138"/>
            <w:bookmarkEnd w:id="139"/>
          </w:p>
        </w:tc>
      </w:tr>
      <w:tr w:rsidR="00A32C1A" w14:paraId="5944EC4F" w14:textId="77777777" w:rsidTr="00420BD3">
        <w:trPr>
          <w:trHeight w:val="70"/>
        </w:trPr>
        <w:tc>
          <w:tcPr>
            <w:tcW w:w="4814" w:type="dxa"/>
          </w:tcPr>
          <w:p w14:paraId="77CE50F1" w14:textId="77777777" w:rsidR="00A32C1A" w:rsidRPr="00B3729E" w:rsidRDefault="00A32C1A" w:rsidP="009739D7">
            <w:pPr>
              <w:pStyle w:val="Observation"/>
              <w:numPr>
                <w:ilvl w:val="0"/>
                <w:numId w:val="0"/>
              </w:numPr>
              <w:jc w:val="left"/>
              <w:rPr>
                <w:sz w:val="14"/>
                <w:szCs w:val="14"/>
              </w:rPr>
            </w:pPr>
            <w:bookmarkStart w:id="140" w:name="_Toc104406473"/>
            <w:bookmarkStart w:id="141" w:name="_Toc106716412"/>
            <w:bookmarkStart w:id="142" w:name="_Toc111112504"/>
            <w:r w:rsidRPr="00B3729E">
              <w:rPr>
                <w:sz w:val="14"/>
                <w:szCs w:val="14"/>
              </w:rPr>
              <w:t>Other issues are not excluded</w:t>
            </w:r>
            <w:bookmarkEnd w:id="140"/>
            <w:bookmarkEnd w:id="141"/>
            <w:bookmarkEnd w:id="142"/>
          </w:p>
        </w:tc>
        <w:tc>
          <w:tcPr>
            <w:tcW w:w="4815" w:type="dxa"/>
          </w:tcPr>
          <w:p w14:paraId="410433D3" w14:textId="77777777" w:rsidR="00A32C1A" w:rsidRPr="00B3729E" w:rsidRDefault="00A32C1A" w:rsidP="009739D7">
            <w:pPr>
              <w:pStyle w:val="Observation"/>
              <w:numPr>
                <w:ilvl w:val="0"/>
                <w:numId w:val="0"/>
              </w:numPr>
              <w:rPr>
                <w:sz w:val="14"/>
                <w:szCs w:val="14"/>
              </w:rPr>
            </w:pPr>
            <w:bookmarkStart w:id="143" w:name="_Toc104406474"/>
            <w:bookmarkStart w:id="144" w:name="_Toc106716413"/>
            <w:bookmarkStart w:id="145" w:name="_Toc111112505"/>
            <w:r>
              <w:rPr>
                <w:sz w:val="14"/>
                <w:szCs w:val="14"/>
              </w:rPr>
              <w:t>N/A</w:t>
            </w:r>
            <w:bookmarkEnd w:id="143"/>
            <w:bookmarkEnd w:id="144"/>
            <w:bookmarkEnd w:id="145"/>
          </w:p>
        </w:tc>
      </w:tr>
    </w:tbl>
    <w:p w14:paraId="2D771ECC" w14:textId="20E60705" w:rsidR="00866186" w:rsidRDefault="00866186" w:rsidP="00866186">
      <w:pPr>
        <w:pStyle w:val="Heading1"/>
      </w:pPr>
      <w:r>
        <w:t>5</w:t>
      </w:r>
      <w:r>
        <w:tab/>
        <w:t>Follow-up: “</w:t>
      </w:r>
      <w:r w:rsidR="00DA0F44" w:rsidRPr="00DA0F44">
        <w:rPr>
          <w:rFonts w:ascii="Times New Roman" w:hAnsi="Times New Roman"/>
          <w:i/>
          <w:iCs/>
        </w:rPr>
        <w:t>how to support enabling and disabling HARQ feedback for downlink transmissions</w:t>
      </w:r>
      <w:r>
        <w:t>”</w:t>
      </w:r>
    </w:p>
    <w:p w14:paraId="6F43268E" w14:textId="7D03AE28" w:rsidR="00866186" w:rsidRDefault="00E76258" w:rsidP="00B549FD">
      <w:pPr>
        <w:jc w:val="both"/>
      </w:pPr>
      <w:r>
        <w:t>During</w:t>
      </w:r>
      <w:r w:rsidR="007649BA">
        <w:t xml:space="preserve"> RAN1# 109-e, “</w:t>
      </w:r>
      <w:r w:rsidR="007649BA" w:rsidRPr="007649BA">
        <w:rPr>
          <w:i/>
          <w:iCs/>
        </w:rPr>
        <w:t>how to support enabling and disabling HARQ feedback for downlink transmissions</w:t>
      </w:r>
      <w:r w:rsidR="007649BA">
        <w:t xml:space="preserve">” was </w:t>
      </w:r>
      <w:r>
        <w:t xml:space="preserve">preliminary </w:t>
      </w:r>
      <w:r w:rsidR="007649BA">
        <w:t xml:space="preserve">discussed through </w:t>
      </w:r>
      <w:r w:rsidR="007649BA" w:rsidRPr="007649BA">
        <w:t>[Proposal 2-5f]</w:t>
      </w:r>
      <w:r w:rsidR="007649BA">
        <w:t xml:space="preserve"> </w:t>
      </w:r>
      <w:r>
        <w:t>of</w:t>
      </w:r>
      <w:r w:rsidR="007649BA">
        <w:t xml:space="preserve"> the Feature Lead Summary (FLS) </w:t>
      </w:r>
      <w:r w:rsidR="00B549FD">
        <w:t>[</w:t>
      </w:r>
      <w:r w:rsidR="00703CA9">
        <w:t>4</w:t>
      </w:r>
      <w:r w:rsidR="00B549FD">
        <w:t>]</w:t>
      </w:r>
      <w:r w:rsidR="007649BA">
        <w:t xml:space="preserve">. In sections 5.1 and 5.2 for LTE-MTC and NB-IoT respectively, we </w:t>
      </w:r>
      <w:r w:rsidR="00B549FD">
        <w:t>provide our views on this topic pointing out</w:t>
      </w:r>
      <w:r w:rsidR="002D5EF1">
        <w:t xml:space="preserve"> to</w:t>
      </w:r>
      <w:r w:rsidR="00B549FD">
        <w:t xml:space="preserve"> </w:t>
      </w:r>
      <w:r w:rsidR="007649BA">
        <w:t>important legacy aspects to consider</w:t>
      </w:r>
      <w:r w:rsidR="00B549FD">
        <w:t>.</w:t>
      </w:r>
      <w:r w:rsidR="007649BA">
        <w:t xml:space="preserve"> </w:t>
      </w:r>
    </w:p>
    <w:p w14:paraId="553A4E9C" w14:textId="7EBE8FB7" w:rsidR="0097069F" w:rsidRDefault="0097069F" w:rsidP="0097069F">
      <w:pPr>
        <w:pStyle w:val="Heading2"/>
      </w:pPr>
      <w:r>
        <w:lastRenderedPageBreak/>
        <w:t>5.1</w:t>
      </w:r>
      <w:r>
        <w:tab/>
        <w:t>LTE-MTC on “</w:t>
      </w:r>
      <w:r w:rsidRPr="00DA0F44">
        <w:rPr>
          <w:rFonts w:ascii="Times New Roman" w:hAnsi="Times New Roman"/>
          <w:i/>
          <w:iCs/>
        </w:rPr>
        <w:t>how to support enabling and disabling HARQ feedback for downlink transmissions</w:t>
      </w:r>
      <w:r>
        <w:t xml:space="preserve">” </w:t>
      </w:r>
    </w:p>
    <w:p w14:paraId="40E24ADE" w14:textId="4016CB95" w:rsidR="002D5EF1" w:rsidRDefault="002D5EF1" w:rsidP="00EF76B1">
      <w:pPr>
        <w:jc w:val="both"/>
      </w:pPr>
      <w:r>
        <w:t>T</w:t>
      </w:r>
      <w:r w:rsidR="00E76258">
        <w:t>he agreements reached in RAN1# 109e have considered two approaches, enabling</w:t>
      </w:r>
      <w:r w:rsidR="00EF76B1">
        <w:t>/</w:t>
      </w:r>
      <w:r w:rsidR="00E76258">
        <w:t>disabling of HARQ feedback for downlink transmissions.</w:t>
      </w:r>
      <w:r w:rsidR="00EF76B1">
        <w:t xml:space="preserve"> </w:t>
      </w:r>
      <w:r w:rsidR="00B077B8">
        <w:t xml:space="preserve">First, </w:t>
      </w:r>
      <w:r w:rsidR="00EF76B1">
        <w:t>we provide our view on how to support enabling HARQ feedback for downlink transmissions.</w:t>
      </w:r>
    </w:p>
    <w:p w14:paraId="3C318416" w14:textId="51017EE0" w:rsidR="00E76258" w:rsidRDefault="00E76258" w:rsidP="00EF76B1">
      <w:pPr>
        <w:pStyle w:val="Observation"/>
        <w:ind w:left="1701" w:hanging="1701"/>
      </w:pPr>
      <w:bookmarkStart w:id="146" w:name="_Toc111112506"/>
      <w:r>
        <w:t>To support enabling HARQ feedback for downlink transmissions</w:t>
      </w:r>
      <w:r w:rsidR="00EF76B1" w:rsidRPr="00EF76B1">
        <w:t xml:space="preserve"> </w:t>
      </w:r>
      <w:r w:rsidR="00B077B8">
        <w:t xml:space="preserve">no additional specification effort than introducing signalling to enable/disable HARQ feedback is needed. This since </w:t>
      </w:r>
      <w:r w:rsidR="00D756DF">
        <w:t xml:space="preserve">where applicable, </w:t>
      </w:r>
      <w:r w:rsidR="00B077B8">
        <w:t xml:space="preserve">the </w:t>
      </w:r>
      <w:r w:rsidR="00EF76B1" w:rsidRPr="00EF76B1">
        <w:t>state-of-art Rel-17 features for LTE-MTC</w:t>
      </w:r>
      <w:r w:rsidR="00B077B8">
        <w:t xml:space="preserve"> </w:t>
      </w:r>
      <w:r w:rsidR="00EF76B1" w:rsidRPr="00EF76B1">
        <w:t>can be used with no further optimization</w:t>
      </w:r>
      <w:r w:rsidR="00B077B8">
        <w:t xml:space="preserve"> to keep the HARQ feedback enabled</w:t>
      </w:r>
      <w:r w:rsidR="002256FE">
        <w:t xml:space="preserve"> without incurring into the so called “HARQ stalling” issue</w:t>
      </w:r>
      <w:r w:rsidR="00B077B8">
        <w:t>.</w:t>
      </w:r>
      <w:bookmarkEnd w:id="146"/>
    </w:p>
    <w:p w14:paraId="5552B1F2" w14:textId="7D295249" w:rsidR="0097069F" w:rsidRDefault="000948AB" w:rsidP="00EF76B1">
      <w:pPr>
        <w:jc w:val="both"/>
      </w:pPr>
      <w:r>
        <w:t>A</w:t>
      </w:r>
      <w:r w:rsidR="00AB6C8B">
        <w:t>ccording with the WID</w:t>
      </w:r>
      <w:r>
        <w:t>,</w:t>
      </w:r>
      <w:r w:rsidR="00AB6C8B">
        <w:t xml:space="preserve"> the motivation behind disabling </w:t>
      </w:r>
      <w:r w:rsidR="007649BA">
        <w:t>the</w:t>
      </w:r>
      <w:r w:rsidR="00AB6C8B">
        <w:t xml:space="preserve"> HARQ feedback</w:t>
      </w:r>
      <w:r w:rsidR="007649BA">
        <w:t xml:space="preserve"> is “</w:t>
      </w:r>
      <w:r w:rsidR="007649BA" w:rsidRPr="007649BA">
        <w:rPr>
          <w:i/>
          <w:iCs/>
        </w:rPr>
        <w:t>to mitigate impact of HARQ stalling on UE data rates</w:t>
      </w:r>
      <w:r w:rsidR="007649BA">
        <w:t>”</w:t>
      </w:r>
      <w:r w:rsidR="0038530E">
        <w:t>. Below we provide our view on how to support disabling HARQ feedback for downlink transmissions.</w:t>
      </w:r>
    </w:p>
    <w:p w14:paraId="0806FAC8" w14:textId="67B7828F" w:rsidR="0038530E" w:rsidRDefault="0038530E" w:rsidP="0038530E">
      <w:pPr>
        <w:pStyle w:val="Observation"/>
        <w:ind w:left="1701" w:hanging="1701"/>
      </w:pPr>
      <w:bookmarkStart w:id="147" w:name="_Toc111112507"/>
      <w:r>
        <w:t>For the disabling of HARQ feedback approach, in our understanding t</w:t>
      </w:r>
      <w:r w:rsidRPr="0038530E">
        <w:t xml:space="preserve">he gain mainly comes from avoiding the “propagation delay in the uplink direction” </w:t>
      </w:r>
      <w:r w:rsidR="00DE34C4">
        <w:t>due to not</w:t>
      </w:r>
      <w:r w:rsidRPr="0038530E">
        <w:t xml:space="preserve"> transmitting ACK/NACK via </w:t>
      </w:r>
      <w:r>
        <w:t>PUCCH</w:t>
      </w:r>
      <w:r w:rsidRPr="0038530E">
        <w:t xml:space="preserve">, plus the ability to receive the subsequent </w:t>
      </w:r>
      <w:r w:rsidR="0096356B">
        <w:t>M</w:t>
      </w:r>
      <w:r w:rsidRPr="0038530E">
        <w:t xml:space="preserve">PDCCH </w:t>
      </w:r>
      <w:r w:rsidR="00592044">
        <w:t>scheduling data</w:t>
      </w:r>
      <w:r w:rsidR="00917F23">
        <w:t xml:space="preserve"> </w:t>
      </w:r>
      <w:r w:rsidR="00917F23" w:rsidRPr="0038530E">
        <w:t>as soon as DL monitoring is allowed</w:t>
      </w:r>
      <w:r>
        <w:t>.</w:t>
      </w:r>
      <w:bookmarkEnd w:id="147"/>
    </w:p>
    <w:p w14:paraId="5285EC06" w14:textId="77777777" w:rsidR="00445595" w:rsidRDefault="001F00D2" w:rsidP="00445595">
      <w:pPr>
        <w:pStyle w:val="Observation"/>
        <w:ind w:left="1701" w:hanging="1701"/>
      </w:pPr>
      <w:bookmarkStart w:id="148" w:name="_Toc111112508"/>
      <w:r>
        <w:t xml:space="preserve">If for the disabling of HARQ feedback approach PUCCH won’t be transmitted, one key </w:t>
      </w:r>
      <w:r w:rsidR="00917F23">
        <w:t xml:space="preserve">design </w:t>
      </w:r>
      <w:r>
        <w:t xml:space="preserve">aspect is </w:t>
      </w:r>
      <w:r w:rsidR="00592044">
        <w:t xml:space="preserve">the point in time at which </w:t>
      </w:r>
      <w:r w:rsidR="002D6CEF" w:rsidRPr="0038530E">
        <w:t xml:space="preserve">DL monitoring </w:t>
      </w:r>
      <w:r w:rsidR="00917F23">
        <w:t>will be</w:t>
      </w:r>
      <w:r w:rsidR="002D6CEF" w:rsidRPr="0038530E">
        <w:t xml:space="preserve"> allowed </w:t>
      </w:r>
      <w:r w:rsidR="0096356B">
        <w:t xml:space="preserve">to start </w:t>
      </w:r>
      <w:r w:rsidR="002D6CEF" w:rsidRPr="0038530E">
        <w:t>t</w:t>
      </w:r>
      <w:r w:rsidR="002D6CEF">
        <w:t>owards receiving the</w:t>
      </w:r>
      <w:r w:rsidR="002D6CEF" w:rsidRPr="0038530E">
        <w:t xml:space="preserve"> subsequent </w:t>
      </w:r>
      <w:r w:rsidR="00157123">
        <w:t>M</w:t>
      </w:r>
      <w:r w:rsidR="002D6CEF" w:rsidRPr="0038530E">
        <w:t xml:space="preserve">PDCCH </w:t>
      </w:r>
      <w:r w:rsidR="002D6CEF">
        <w:t>scheduling data.</w:t>
      </w:r>
      <w:bookmarkEnd w:id="148"/>
    </w:p>
    <w:p w14:paraId="0E6159B1" w14:textId="761A2E9B" w:rsidR="00034AFA" w:rsidRDefault="00917F23" w:rsidP="00445595">
      <w:pPr>
        <w:pStyle w:val="Observation"/>
        <w:ind w:left="1701" w:hanging="1701"/>
      </w:pPr>
      <w:bookmarkStart w:id="149" w:name="_Toc111112509"/>
      <w:r>
        <w:t xml:space="preserve">In legacy, there is a delay </w:t>
      </w:r>
      <w:r w:rsidR="00DC19AA">
        <w:t xml:space="preserve">between </w:t>
      </w:r>
      <w:r w:rsidR="0096356B">
        <w:t xml:space="preserve">the “MPDCCH and the scheduled PDSCH”, </w:t>
      </w:r>
      <w:r w:rsidR="00DC19AA">
        <w:t>afterwards</w:t>
      </w:r>
      <w:r w:rsidR="0096356B">
        <w:t xml:space="preserve"> there is</w:t>
      </w:r>
      <w:r>
        <w:t xml:space="preserve"> </w:t>
      </w:r>
      <w:bookmarkStart w:id="150" w:name="_Hlk104377180"/>
      <w:r>
        <w:t xml:space="preserve">at least </w:t>
      </w:r>
      <w:r w:rsidR="0096356B">
        <w:t xml:space="preserve">a </w:t>
      </w:r>
      <w:r>
        <w:t xml:space="preserve">3 </w:t>
      </w:r>
      <w:proofErr w:type="spellStart"/>
      <w:r>
        <w:t>ms</w:t>
      </w:r>
      <w:proofErr w:type="spellEnd"/>
      <w:r>
        <w:t xml:space="preserve"> </w:t>
      </w:r>
      <w:r w:rsidR="0096356B">
        <w:t xml:space="preserve">delay </w:t>
      </w:r>
      <w:r>
        <w:t xml:space="preserve">between the end of PDSCH and the start of </w:t>
      </w:r>
      <w:bookmarkEnd w:id="150"/>
      <w:r>
        <w:t>PUCCH</w:t>
      </w:r>
      <w:r w:rsidR="00034AFA">
        <w:t xml:space="preserve"> which</w:t>
      </w:r>
      <w:r w:rsidR="00DC19AA">
        <w:t xml:space="preserve"> accounts for sufficient PDSCH decoding time at the device</w:t>
      </w:r>
      <w:r w:rsidR="00BE004B">
        <w:t xml:space="preserve"> (See Annex 1)</w:t>
      </w:r>
      <w:r w:rsidR="00DC19AA">
        <w:t>.</w:t>
      </w:r>
      <w:bookmarkEnd w:id="149"/>
    </w:p>
    <w:p w14:paraId="2F638013" w14:textId="55C29E6E" w:rsidR="00917F23" w:rsidRDefault="009212F8" w:rsidP="00123B72">
      <w:pPr>
        <w:pStyle w:val="Observation"/>
        <w:numPr>
          <w:ilvl w:val="0"/>
          <w:numId w:val="40"/>
        </w:numPr>
      </w:pPr>
      <w:bookmarkStart w:id="151" w:name="_Toc111112510"/>
      <w:r>
        <w:t>Preserving the legacy processing delays unmodified is important</w:t>
      </w:r>
      <w:r w:rsidR="00123B72">
        <w:t>, and t</w:t>
      </w:r>
      <w:r w:rsidR="00034AFA">
        <w:t xml:space="preserve">hus </w:t>
      </w:r>
      <w:r w:rsidR="00445595">
        <w:t>when HAR</w:t>
      </w:r>
      <w:r w:rsidR="00C168CE">
        <w:t>Q feedback is disabled</w:t>
      </w:r>
      <w:r w:rsidR="00034AFA">
        <w:t xml:space="preserve">, </w:t>
      </w:r>
      <w:bookmarkStart w:id="152" w:name="_Hlk104376727"/>
      <w:r w:rsidR="00034AFA">
        <w:t xml:space="preserve">the earliest the DL monitoring should start is </w:t>
      </w:r>
      <w:r w:rsidR="00034AFA" w:rsidRPr="00034AFA">
        <w:t>precisely the subframe at which PUCCH would be otherwise transmitted</w:t>
      </w:r>
      <w:bookmarkEnd w:id="152"/>
      <w:r w:rsidR="00034AFA" w:rsidRPr="00034AFA">
        <w:t>.</w:t>
      </w:r>
      <w:bookmarkEnd w:id="151"/>
    </w:p>
    <w:p w14:paraId="2644BCA0" w14:textId="539C81CE" w:rsidR="009212F8" w:rsidRDefault="009212F8" w:rsidP="009212F8">
      <w:pPr>
        <w:pStyle w:val="Observation"/>
        <w:numPr>
          <w:ilvl w:val="1"/>
          <w:numId w:val="40"/>
        </w:numPr>
      </w:pPr>
      <w:bookmarkStart w:id="153" w:name="_Toc111112511"/>
      <w:r>
        <w:t xml:space="preserve">This allows preserving (for sufficient PDSCH decoding purposes) </w:t>
      </w:r>
      <w:r w:rsidRPr="009212F8">
        <w:t xml:space="preserve">at least a 3 </w:t>
      </w:r>
      <w:proofErr w:type="spellStart"/>
      <w:r w:rsidRPr="009212F8">
        <w:t>ms</w:t>
      </w:r>
      <w:proofErr w:type="spellEnd"/>
      <w:r w:rsidRPr="009212F8">
        <w:t xml:space="preserve"> delay between the end of PDSCH and the start of</w:t>
      </w:r>
      <w:r>
        <w:t xml:space="preserve"> the DL monitoring.</w:t>
      </w:r>
      <w:r w:rsidR="00CC1A28">
        <w:t xml:space="preserve"> Any proposal on shortening this delay will require RAN4 studies.</w:t>
      </w:r>
      <w:bookmarkEnd w:id="153"/>
    </w:p>
    <w:p w14:paraId="60B00DEA" w14:textId="24C573AA" w:rsidR="009212F8" w:rsidRDefault="009212F8" w:rsidP="00123B72">
      <w:pPr>
        <w:pStyle w:val="Observation"/>
        <w:numPr>
          <w:ilvl w:val="0"/>
          <w:numId w:val="40"/>
        </w:numPr>
      </w:pPr>
      <w:bookmarkStart w:id="154" w:name="_Toc111112512"/>
      <w:r>
        <w:t>Legacy delays</w:t>
      </w:r>
      <w:r w:rsidRPr="009212F8">
        <w:t xml:space="preserve"> </w:t>
      </w:r>
      <w:r>
        <w:t xml:space="preserve">are </w:t>
      </w:r>
      <w:r w:rsidRPr="009212F8">
        <w:t xml:space="preserve">an important part of what makes the IoT technologies </w:t>
      </w:r>
      <w:r w:rsidR="00E44BA9">
        <w:t>have a</w:t>
      </w:r>
      <w:r w:rsidRPr="009212F8">
        <w:t xml:space="preserve"> low complexity and </w:t>
      </w:r>
      <w:r w:rsidR="00E44BA9">
        <w:t xml:space="preserve">a </w:t>
      </w:r>
      <w:r w:rsidRPr="009212F8">
        <w:t>low cost</w:t>
      </w:r>
      <w:r>
        <w:t>.</w:t>
      </w:r>
      <w:bookmarkEnd w:id="154"/>
    </w:p>
    <w:p w14:paraId="7A36299A" w14:textId="1F38D9E5" w:rsidR="007C2E6C" w:rsidRDefault="008A7424" w:rsidP="00EF76B1">
      <w:pPr>
        <w:pStyle w:val="Proposal"/>
      </w:pPr>
      <w:bookmarkStart w:id="155" w:name="_Toc111112524"/>
      <w:r>
        <w:t>T</w:t>
      </w:r>
      <w:r w:rsidR="007C2E6C">
        <w:t>he</w:t>
      </w:r>
      <w:r>
        <w:t xml:space="preserve"> support </w:t>
      </w:r>
      <w:r w:rsidR="009F6B3D">
        <w:t xml:space="preserve">of </w:t>
      </w:r>
      <w:r>
        <w:t>disabling HARQ feedback for downlink transmission</w:t>
      </w:r>
      <w:r w:rsidR="009212F8">
        <w:t xml:space="preserve"> </w:t>
      </w:r>
      <w:r w:rsidR="007C2E6C" w:rsidRPr="007C2E6C">
        <w:t xml:space="preserve">relies on not transmitting </w:t>
      </w:r>
      <w:r w:rsidR="007C2E6C">
        <w:t>PUCCH</w:t>
      </w:r>
      <w:r w:rsidR="007C2E6C" w:rsidRPr="007C2E6C">
        <w:t xml:space="preserve"> and the ability to receive the subsequent </w:t>
      </w:r>
      <w:r w:rsidR="007C2E6C">
        <w:t>M</w:t>
      </w:r>
      <w:r w:rsidR="007C2E6C" w:rsidRPr="007C2E6C">
        <w:t>PDCCH scheduling data as soon as DL monitoring is allowed</w:t>
      </w:r>
      <w:r w:rsidR="007C2E6C">
        <w:t>.</w:t>
      </w:r>
      <w:bookmarkEnd w:id="155"/>
    </w:p>
    <w:p w14:paraId="007C9F25" w14:textId="51C85C01" w:rsidR="0038530E" w:rsidRDefault="007C2E6C" w:rsidP="007C2E6C">
      <w:pPr>
        <w:pStyle w:val="Proposal"/>
        <w:numPr>
          <w:ilvl w:val="0"/>
          <w:numId w:val="42"/>
        </w:numPr>
      </w:pPr>
      <w:bookmarkStart w:id="156" w:name="_Toc111112525"/>
      <w:r>
        <w:t>T</w:t>
      </w:r>
      <w:r w:rsidR="009212F8" w:rsidRPr="009212F8">
        <w:t xml:space="preserve">he </w:t>
      </w:r>
      <w:bookmarkStart w:id="157" w:name="_Hlk104389093"/>
      <w:r w:rsidR="009212F8" w:rsidRPr="009212F8">
        <w:t xml:space="preserve">earliest the DL monitoring should start is </w:t>
      </w:r>
      <w:r w:rsidR="009212F8">
        <w:t>at</w:t>
      </w:r>
      <w:r w:rsidR="009212F8" w:rsidRPr="009212F8">
        <w:t xml:space="preserve"> the subframe at which PUCCH would be otherwise transmitted (i.e., preserving </w:t>
      </w:r>
      <w:r>
        <w:t xml:space="preserve">for sufficient PDSCH decoding time, </w:t>
      </w:r>
      <w:r w:rsidR="009212F8" w:rsidRPr="009212F8">
        <w:t xml:space="preserve">at least a 3 </w:t>
      </w:r>
      <w:proofErr w:type="spellStart"/>
      <w:r w:rsidR="009212F8" w:rsidRPr="009212F8">
        <w:t>ms</w:t>
      </w:r>
      <w:proofErr w:type="spellEnd"/>
      <w:r w:rsidR="009212F8" w:rsidRPr="009212F8">
        <w:t xml:space="preserve"> delay between the end of PDSCH and the start of the DL monitoring</w:t>
      </w:r>
      <w:r w:rsidR="009212F8">
        <w:t>)</w:t>
      </w:r>
      <w:bookmarkEnd w:id="157"/>
      <w:r w:rsidR="009212F8">
        <w:t>.</w:t>
      </w:r>
      <w:bookmarkEnd w:id="156"/>
    </w:p>
    <w:p w14:paraId="0E583CAE" w14:textId="6F9C623A" w:rsidR="0097069F" w:rsidRDefault="0097069F" w:rsidP="0097069F">
      <w:pPr>
        <w:pStyle w:val="Heading2"/>
      </w:pPr>
      <w:r>
        <w:t>5.2</w:t>
      </w:r>
      <w:r>
        <w:tab/>
        <w:t>NB-IoT on “</w:t>
      </w:r>
      <w:r w:rsidRPr="00DA0F44">
        <w:rPr>
          <w:rFonts w:ascii="Times New Roman" w:hAnsi="Times New Roman"/>
          <w:i/>
          <w:iCs/>
        </w:rPr>
        <w:t>how to support enabling and disabling HARQ feedback for downlink transmissions</w:t>
      </w:r>
      <w:r>
        <w:t>”</w:t>
      </w:r>
    </w:p>
    <w:p w14:paraId="4B1218F0" w14:textId="566C96F3" w:rsidR="00E22F8A" w:rsidRDefault="00E22F8A" w:rsidP="00E22F8A">
      <w:pPr>
        <w:jc w:val="both"/>
      </w:pPr>
      <w:r>
        <w:t>The agreements reached in RAN1# 109e have considered two approaches, enabling/disabling of HARQ feedback for downlink transmissions. First, we provide our view on how to support enabling HARQ feedback for downlink transmissions.</w:t>
      </w:r>
    </w:p>
    <w:p w14:paraId="10538775" w14:textId="1B9D9F6E" w:rsidR="00E22F8A" w:rsidRDefault="00E22F8A" w:rsidP="00E22F8A">
      <w:pPr>
        <w:pStyle w:val="Observation"/>
        <w:ind w:left="1701" w:hanging="1701"/>
      </w:pPr>
      <w:bookmarkStart w:id="158" w:name="_Toc111112513"/>
      <w:r>
        <w:t>To support enabling HARQ feedback for downlink transmissions</w:t>
      </w:r>
      <w:r w:rsidRPr="00EF76B1">
        <w:t xml:space="preserve"> </w:t>
      </w:r>
      <w:r>
        <w:t xml:space="preserve">no additional specification effort than introducing signalling to enable/disable HARQ feedback is needed. This since </w:t>
      </w:r>
      <w:r w:rsidR="00D756DF">
        <w:t xml:space="preserve">where applicable, </w:t>
      </w:r>
      <w:r>
        <w:t xml:space="preserve">the </w:t>
      </w:r>
      <w:r w:rsidRPr="00EF76B1">
        <w:t xml:space="preserve">state-of-art Rel-17 features for </w:t>
      </w:r>
      <w:r>
        <w:t xml:space="preserve">NB-IoT </w:t>
      </w:r>
      <w:r w:rsidRPr="00EF76B1">
        <w:t>can be used with no further optimization</w:t>
      </w:r>
      <w:r>
        <w:t xml:space="preserve"> to keep the HARQ feedback enabled</w:t>
      </w:r>
      <w:r w:rsidR="00D756DF">
        <w:t xml:space="preserve"> without incurring into the so called “HARQ stalling” issue</w:t>
      </w:r>
      <w:r>
        <w:t>.</w:t>
      </w:r>
      <w:bookmarkEnd w:id="158"/>
    </w:p>
    <w:p w14:paraId="6F8045EE" w14:textId="77777777" w:rsidR="00E22F8A" w:rsidRDefault="00E22F8A" w:rsidP="00E22F8A">
      <w:pPr>
        <w:jc w:val="both"/>
      </w:pPr>
      <w:r>
        <w:lastRenderedPageBreak/>
        <w:t>On the other hand, according with the WID the motivation behind disabling the HARQ feedback is “</w:t>
      </w:r>
      <w:r w:rsidRPr="007649BA">
        <w:rPr>
          <w:i/>
          <w:iCs/>
        </w:rPr>
        <w:t>to mitigate impact of HARQ stalling on UE data rates</w:t>
      </w:r>
      <w:r>
        <w:t>”. Below we provide our view on how to support disabling HARQ feedback for downlink transmissions.</w:t>
      </w:r>
    </w:p>
    <w:p w14:paraId="27079EAB" w14:textId="0992133B" w:rsidR="00E22F8A" w:rsidRDefault="00E22F8A" w:rsidP="00E22F8A">
      <w:pPr>
        <w:pStyle w:val="Observation"/>
        <w:ind w:left="1701" w:hanging="1701"/>
      </w:pPr>
      <w:bookmarkStart w:id="159" w:name="_Toc111112514"/>
      <w:r>
        <w:t>For the disabling of HARQ feedback approach, in our understanding t</w:t>
      </w:r>
      <w:r w:rsidRPr="0038530E">
        <w:t xml:space="preserve">he gain mainly comes from avoiding the “propagation delay in the uplink direction” </w:t>
      </w:r>
      <w:r>
        <w:t>due to not</w:t>
      </w:r>
      <w:r w:rsidRPr="0038530E">
        <w:t xml:space="preserve"> transmitting ACK/NACK via </w:t>
      </w:r>
      <w:r>
        <w:t>NPUSCH Format 2</w:t>
      </w:r>
      <w:r w:rsidRPr="0038530E">
        <w:t xml:space="preserve">, plus the ability to receive the subsequent </w:t>
      </w:r>
      <w:r w:rsidR="00A02EAF">
        <w:t>N</w:t>
      </w:r>
      <w:r w:rsidRPr="0038530E">
        <w:t xml:space="preserve">PDCCH </w:t>
      </w:r>
      <w:r>
        <w:t xml:space="preserve">scheduling data </w:t>
      </w:r>
      <w:r w:rsidRPr="0038530E">
        <w:t>as soon as DL monitoring is allowed</w:t>
      </w:r>
      <w:r>
        <w:t>.</w:t>
      </w:r>
      <w:bookmarkEnd w:id="159"/>
    </w:p>
    <w:p w14:paraId="6A5ECC7A" w14:textId="04C1360C" w:rsidR="00E22F8A" w:rsidRDefault="00E22F8A" w:rsidP="00E22F8A">
      <w:pPr>
        <w:pStyle w:val="Observation"/>
        <w:ind w:left="1701" w:hanging="1701"/>
      </w:pPr>
      <w:bookmarkStart w:id="160" w:name="_Toc111112515"/>
      <w:r>
        <w:t xml:space="preserve">If for the disabling of HARQ feedback approach </w:t>
      </w:r>
      <w:r w:rsidR="00A02EAF">
        <w:t>NPUSCH Format 2</w:t>
      </w:r>
      <w:r>
        <w:t xml:space="preserve"> won’t be transmitted, one key design aspect is the point in time at which </w:t>
      </w:r>
      <w:r w:rsidRPr="0038530E">
        <w:t xml:space="preserve">DL monitoring </w:t>
      </w:r>
      <w:r>
        <w:t>will be</w:t>
      </w:r>
      <w:r w:rsidRPr="0038530E">
        <w:t xml:space="preserve"> allowed </w:t>
      </w:r>
      <w:r>
        <w:t xml:space="preserve">to start </w:t>
      </w:r>
      <w:r w:rsidRPr="0038530E">
        <w:t>t</w:t>
      </w:r>
      <w:r>
        <w:t>owards receiving the</w:t>
      </w:r>
      <w:r w:rsidRPr="0038530E">
        <w:t xml:space="preserve"> subsequent </w:t>
      </w:r>
      <w:r w:rsidR="00A02EAF">
        <w:t>N</w:t>
      </w:r>
      <w:r w:rsidRPr="0038530E">
        <w:t xml:space="preserve">PDCCH </w:t>
      </w:r>
      <w:r>
        <w:t>scheduling data.</w:t>
      </w:r>
      <w:bookmarkEnd w:id="160"/>
    </w:p>
    <w:p w14:paraId="51D753AA" w14:textId="00583859" w:rsidR="00E22F8A" w:rsidRDefault="00E22F8A" w:rsidP="00E22F8A">
      <w:pPr>
        <w:pStyle w:val="Observation"/>
        <w:ind w:left="1701" w:hanging="1701"/>
      </w:pPr>
      <w:bookmarkStart w:id="161" w:name="_Toc111112516"/>
      <w:r>
        <w:t>In legacy, there is a delay between the “</w:t>
      </w:r>
      <w:r w:rsidR="00A02EAF">
        <w:t>N</w:t>
      </w:r>
      <w:r>
        <w:t xml:space="preserve">PDCCH and the scheduled </w:t>
      </w:r>
      <w:r w:rsidR="00A02EAF">
        <w:t>N</w:t>
      </w:r>
      <w:r>
        <w:t xml:space="preserve">PDSCH”, afterwards there is at least a </w:t>
      </w:r>
      <w:r w:rsidR="00A02EAF">
        <w:t>12</w:t>
      </w:r>
      <w:r>
        <w:t xml:space="preserve"> </w:t>
      </w:r>
      <w:proofErr w:type="spellStart"/>
      <w:r>
        <w:t>ms</w:t>
      </w:r>
      <w:proofErr w:type="spellEnd"/>
      <w:r>
        <w:t xml:space="preserve"> delay between the end of </w:t>
      </w:r>
      <w:r w:rsidR="00A02EAF">
        <w:t>N</w:t>
      </w:r>
      <w:r>
        <w:t xml:space="preserve">PDSCH and the start of </w:t>
      </w:r>
      <w:r w:rsidR="00A02EAF">
        <w:t>NPUSCH Format 2</w:t>
      </w:r>
      <w:r>
        <w:t xml:space="preserve"> which accounts for sufficient </w:t>
      </w:r>
      <w:r w:rsidR="00A02EAF">
        <w:t>N</w:t>
      </w:r>
      <w:r>
        <w:t xml:space="preserve">PDSCH decoding time at the device (See Annex </w:t>
      </w:r>
      <w:r w:rsidR="00A02EAF">
        <w:t>2</w:t>
      </w:r>
      <w:r>
        <w:t>).</w:t>
      </w:r>
      <w:bookmarkEnd w:id="161"/>
    </w:p>
    <w:p w14:paraId="4CB17773" w14:textId="13629215" w:rsidR="00E22F8A" w:rsidRDefault="00E22F8A" w:rsidP="00E22F8A">
      <w:pPr>
        <w:pStyle w:val="Observation"/>
        <w:numPr>
          <w:ilvl w:val="0"/>
          <w:numId w:val="40"/>
        </w:numPr>
      </w:pPr>
      <w:bookmarkStart w:id="162" w:name="_Toc111112517"/>
      <w:r>
        <w:t xml:space="preserve">Preserving the legacy processing delays unmodified is important, and thus when HARQ feedback is disabled, the earliest the DL monitoring should start is </w:t>
      </w:r>
      <w:r w:rsidRPr="00034AFA">
        <w:t xml:space="preserve">precisely the subframe at which </w:t>
      </w:r>
      <w:r w:rsidR="00A02EAF">
        <w:t>NPUSCH Format 2</w:t>
      </w:r>
      <w:r w:rsidRPr="00034AFA">
        <w:t xml:space="preserve"> would be otherwise transmitted.</w:t>
      </w:r>
      <w:bookmarkEnd w:id="162"/>
    </w:p>
    <w:p w14:paraId="4F4056AF" w14:textId="2DD56AB1" w:rsidR="00E22F8A" w:rsidRDefault="00E22F8A" w:rsidP="00E22F8A">
      <w:pPr>
        <w:pStyle w:val="Observation"/>
        <w:numPr>
          <w:ilvl w:val="1"/>
          <w:numId w:val="40"/>
        </w:numPr>
      </w:pPr>
      <w:bookmarkStart w:id="163" w:name="_Toc111112518"/>
      <w:r>
        <w:t xml:space="preserve">This allows preserving (for sufficient </w:t>
      </w:r>
      <w:r w:rsidR="00A02EAF">
        <w:t>N</w:t>
      </w:r>
      <w:r>
        <w:t xml:space="preserve">PDSCH decoding purposes) </w:t>
      </w:r>
      <w:r w:rsidRPr="009212F8">
        <w:t xml:space="preserve">at least a </w:t>
      </w:r>
      <w:r w:rsidR="00A02EAF">
        <w:t>12</w:t>
      </w:r>
      <w:r w:rsidRPr="009212F8">
        <w:t xml:space="preserve"> </w:t>
      </w:r>
      <w:proofErr w:type="spellStart"/>
      <w:r w:rsidRPr="009212F8">
        <w:t>ms</w:t>
      </w:r>
      <w:proofErr w:type="spellEnd"/>
      <w:r w:rsidRPr="009212F8">
        <w:t xml:space="preserve"> delay between the end of </w:t>
      </w:r>
      <w:r w:rsidR="00A02EAF">
        <w:t>N</w:t>
      </w:r>
      <w:r w:rsidRPr="009212F8">
        <w:t>PDSCH and the start of</w:t>
      </w:r>
      <w:r>
        <w:t xml:space="preserve"> the DL monitoring.</w:t>
      </w:r>
      <w:r w:rsidR="00CC1A28">
        <w:t xml:space="preserve"> Any proposal on shortening this delay will require RAN4 studies.</w:t>
      </w:r>
      <w:bookmarkEnd w:id="163"/>
    </w:p>
    <w:p w14:paraId="724A6498" w14:textId="4970F061" w:rsidR="00E22F8A" w:rsidRDefault="00E22F8A" w:rsidP="00E22F8A">
      <w:pPr>
        <w:pStyle w:val="Observation"/>
        <w:numPr>
          <w:ilvl w:val="0"/>
          <w:numId w:val="40"/>
        </w:numPr>
      </w:pPr>
      <w:bookmarkStart w:id="164" w:name="_Toc111112519"/>
      <w:r>
        <w:t>Legacy delays</w:t>
      </w:r>
      <w:r w:rsidRPr="009212F8">
        <w:t xml:space="preserve"> </w:t>
      </w:r>
      <w:r>
        <w:t xml:space="preserve">are </w:t>
      </w:r>
      <w:r w:rsidRPr="009212F8">
        <w:t xml:space="preserve">an important part of what makes the IoT technologies </w:t>
      </w:r>
      <w:r w:rsidR="00CC1A28">
        <w:t>having a</w:t>
      </w:r>
      <w:r w:rsidRPr="009212F8">
        <w:t xml:space="preserve"> low complexity and </w:t>
      </w:r>
      <w:r w:rsidR="00CC1A28">
        <w:t xml:space="preserve">a </w:t>
      </w:r>
      <w:r w:rsidRPr="009212F8">
        <w:t>low cost</w:t>
      </w:r>
      <w:r>
        <w:t>.</w:t>
      </w:r>
      <w:bookmarkEnd w:id="164"/>
    </w:p>
    <w:p w14:paraId="591B4E7A" w14:textId="62F7A898" w:rsidR="00E800A1" w:rsidRDefault="00E22F8A" w:rsidP="00E22F8A">
      <w:pPr>
        <w:pStyle w:val="Proposal"/>
      </w:pPr>
      <w:bookmarkStart w:id="165" w:name="_Toc111112526"/>
      <w:r>
        <w:t>T</w:t>
      </w:r>
      <w:r w:rsidR="00E800A1">
        <w:t>he</w:t>
      </w:r>
      <w:r>
        <w:t xml:space="preserve"> support disabling HARQ feedback for downlink transmission </w:t>
      </w:r>
      <w:bookmarkStart w:id="166" w:name="_Hlk104383277"/>
      <w:r w:rsidR="00E800A1" w:rsidRPr="00E800A1">
        <w:t xml:space="preserve">relies on not transmitting NPUSCH Format 2 and the ability to receive the subsequent </w:t>
      </w:r>
      <w:r w:rsidR="00E800A1">
        <w:t>N</w:t>
      </w:r>
      <w:r w:rsidR="00E800A1" w:rsidRPr="00E800A1">
        <w:t>PDCCH scheduling data as soon as DL monitoring is allowed</w:t>
      </w:r>
      <w:bookmarkEnd w:id="166"/>
      <w:r w:rsidR="00E800A1">
        <w:t>.</w:t>
      </w:r>
      <w:bookmarkEnd w:id="165"/>
    </w:p>
    <w:p w14:paraId="178991AB" w14:textId="7F2B2E54" w:rsidR="00E22F8A" w:rsidRDefault="00E800A1" w:rsidP="00E800A1">
      <w:pPr>
        <w:pStyle w:val="Proposal"/>
        <w:numPr>
          <w:ilvl w:val="0"/>
          <w:numId w:val="41"/>
        </w:numPr>
      </w:pPr>
      <w:bookmarkStart w:id="167" w:name="_Toc111112527"/>
      <w:r>
        <w:t>T</w:t>
      </w:r>
      <w:r w:rsidR="00E22F8A" w:rsidRPr="009212F8">
        <w:t xml:space="preserve">he earliest the DL monitoring should start is </w:t>
      </w:r>
      <w:r w:rsidR="00E22F8A">
        <w:t>at</w:t>
      </w:r>
      <w:r w:rsidR="00E22F8A" w:rsidRPr="009212F8">
        <w:t xml:space="preserve"> the subframe at which </w:t>
      </w:r>
      <w:r w:rsidR="00A02EAF">
        <w:t>NPUSCH Format 2</w:t>
      </w:r>
      <w:r w:rsidR="00E22F8A" w:rsidRPr="009212F8">
        <w:t xml:space="preserve"> would be otherwise transmitted (i.e., preserving </w:t>
      </w:r>
      <w:r w:rsidR="007C2E6C">
        <w:t xml:space="preserve">for sufficient NPDSCH decoding time, </w:t>
      </w:r>
      <w:r w:rsidR="00E22F8A" w:rsidRPr="009212F8">
        <w:t xml:space="preserve">at least a </w:t>
      </w:r>
      <w:r w:rsidR="00A02EAF">
        <w:t>12</w:t>
      </w:r>
      <w:r w:rsidR="00E22F8A" w:rsidRPr="009212F8">
        <w:t xml:space="preserve"> </w:t>
      </w:r>
      <w:proofErr w:type="spellStart"/>
      <w:r w:rsidR="00E22F8A" w:rsidRPr="009212F8">
        <w:t>ms</w:t>
      </w:r>
      <w:proofErr w:type="spellEnd"/>
      <w:r w:rsidR="00E22F8A" w:rsidRPr="009212F8">
        <w:t xml:space="preserve"> delay between the end of </w:t>
      </w:r>
      <w:r w:rsidR="00A02EAF">
        <w:t>N</w:t>
      </w:r>
      <w:r w:rsidR="00E22F8A" w:rsidRPr="009212F8">
        <w:t>PDSCH and the start of the DL monitoring</w:t>
      </w:r>
      <w:r w:rsidR="00E22F8A">
        <w:t>).</w:t>
      </w:r>
      <w:bookmarkEnd w:id="167"/>
    </w:p>
    <w:p w14:paraId="7EE6C3D2" w14:textId="4964EC82" w:rsidR="00C4547A" w:rsidRDefault="00C4547A" w:rsidP="00C4547A">
      <w:pPr>
        <w:pStyle w:val="Heading2"/>
      </w:pPr>
      <w:r>
        <w:t>5.3</w:t>
      </w:r>
      <w:r>
        <w:tab/>
        <w:t>In common for LTE-MTC and NB-IoT on “</w:t>
      </w:r>
      <w:r w:rsidRPr="00DA0F44">
        <w:rPr>
          <w:rFonts w:ascii="Times New Roman" w:hAnsi="Times New Roman"/>
          <w:i/>
          <w:iCs/>
        </w:rPr>
        <w:t>how to support enabling and disabling HARQ feedback for downlink transmissions</w:t>
      </w:r>
      <w:r>
        <w:t xml:space="preserve">” </w:t>
      </w:r>
    </w:p>
    <w:p w14:paraId="29B58E01" w14:textId="4000C62B" w:rsidR="00C4547A" w:rsidRDefault="00C4547A" w:rsidP="00C4547A">
      <w:pPr>
        <w:pStyle w:val="Observation"/>
        <w:ind w:left="1701" w:hanging="1701"/>
      </w:pPr>
      <w:bookmarkStart w:id="168" w:name="_Toc111112520"/>
      <w:r>
        <w:t xml:space="preserve">In general, </w:t>
      </w:r>
      <w:r w:rsidR="00053665">
        <w:t xml:space="preserve">the approach of </w:t>
      </w:r>
      <w:r>
        <w:t>disabling HARQ feedback relies on not transmitting PUCCH</w:t>
      </w:r>
      <w:r w:rsidR="00E800A1">
        <w:t xml:space="preserve"> </w:t>
      </w:r>
      <w:r w:rsidR="00405501">
        <w:t xml:space="preserve">for LTE-MTC </w:t>
      </w:r>
      <w:r w:rsidR="00E800A1">
        <w:t xml:space="preserve">or </w:t>
      </w:r>
      <w:r w:rsidR="00381D66">
        <w:t>NPUSCH</w:t>
      </w:r>
      <w:r w:rsidR="00E800A1">
        <w:t xml:space="preserve"> </w:t>
      </w:r>
      <w:r w:rsidR="00381D66">
        <w:t>(</w:t>
      </w:r>
      <w:r>
        <w:t xml:space="preserve">Format 2) </w:t>
      </w:r>
      <w:r w:rsidR="00405501">
        <w:t>for NB-IoT</w:t>
      </w:r>
      <w:r w:rsidR="006327EB">
        <w:t>,</w:t>
      </w:r>
      <w:r w:rsidR="00405501">
        <w:t xml:space="preserve"> </w:t>
      </w:r>
      <w:r>
        <w:t xml:space="preserve">and </w:t>
      </w:r>
      <w:r w:rsidRPr="0038530E">
        <w:t xml:space="preserve">the ability to receive the subsequent </w:t>
      </w:r>
      <w:r w:rsidR="00381D66">
        <w:t>(</w:t>
      </w:r>
      <w:r>
        <w:t>M</w:t>
      </w:r>
      <w:r w:rsidR="00381D66">
        <w:t>/N)</w:t>
      </w:r>
      <w:r w:rsidR="00E800A1">
        <w:t xml:space="preserve"> </w:t>
      </w:r>
      <w:r w:rsidRPr="0038530E">
        <w:t xml:space="preserve">PDCCH </w:t>
      </w:r>
      <w:r>
        <w:t xml:space="preserve">scheduling data </w:t>
      </w:r>
      <w:r w:rsidRPr="0038530E">
        <w:t>as soon as DL monitoring is allowed</w:t>
      </w:r>
      <w:r>
        <w:t xml:space="preserve">. </w:t>
      </w:r>
      <w:r w:rsidR="00053665">
        <w:t>In our view</w:t>
      </w:r>
      <w:r w:rsidR="00381D66">
        <w:t xml:space="preserve">, </w:t>
      </w:r>
      <w:r>
        <w:t xml:space="preserve">no optimizations to further increase the data rate should be pursued, since in any case </w:t>
      </w:r>
      <w:r w:rsidRPr="00123B72">
        <w:t xml:space="preserve">what is needed is to compensate </w:t>
      </w:r>
      <w:r>
        <w:t xml:space="preserve">for </w:t>
      </w:r>
      <w:r w:rsidRPr="00123B72">
        <w:t>the loss of reliability.</w:t>
      </w:r>
      <w:r>
        <w:t xml:space="preserve"> Overall, the disabling </w:t>
      </w:r>
      <w:r w:rsidR="00405501">
        <w:t xml:space="preserve">approach </w:t>
      </w:r>
      <w:r>
        <w:t>should be supported with a</w:t>
      </w:r>
      <w:r w:rsidR="00A0781B">
        <w:t>s</w:t>
      </w:r>
      <w:r>
        <w:t xml:space="preserve"> minimum specification impact as possible.</w:t>
      </w:r>
      <w:bookmarkEnd w:id="168"/>
    </w:p>
    <w:p w14:paraId="463365D1" w14:textId="035720F2" w:rsidR="00E800A1" w:rsidRDefault="00E800A1" w:rsidP="00C4547A">
      <w:pPr>
        <w:pStyle w:val="Observation"/>
        <w:ind w:left="1701" w:hanging="1701"/>
      </w:pPr>
      <w:bookmarkStart w:id="169" w:name="_Toc111112521"/>
      <w:r>
        <w:t xml:space="preserve">If the approach of disabling of HARQ feedback </w:t>
      </w:r>
      <w:bookmarkStart w:id="170" w:name="_Hlk104383189"/>
      <w:r>
        <w:t>relies on not transmitting PUCCH</w:t>
      </w:r>
      <w:r w:rsidR="00DE5D10">
        <w:t xml:space="preserve"> for LTE-MTC</w:t>
      </w:r>
      <w:r>
        <w:t xml:space="preserve"> or NPUSCH (Format 2)</w:t>
      </w:r>
      <w:r w:rsidR="00DE5D10">
        <w:t xml:space="preserve"> for NB-IoT</w:t>
      </w:r>
      <w:r w:rsidR="006327EB">
        <w:t>,</w:t>
      </w:r>
      <w:r>
        <w:t xml:space="preserve"> and </w:t>
      </w:r>
      <w:r w:rsidRPr="0038530E">
        <w:t xml:space="preserve">the ability to receive the subsequent </w:t>
      </w:r>
      <w:r>
        <w:t xml:space="preserve">(M/N) </w:t>
      </w:r>
      <w:r w:rsidRPr="0038530E">
        <w:t xml:space="preserve">PDCCH </w:t>
      </w:r>
      <w:r>
        <w:t xml:space="preserve">scheduling data </w:t>
      </w:r>
      <w:r w:rsidRPr="0038530E">
        <w:t>as soon as DL monitoring is allowed</w:t>
      </w:r>
      <w:bookmarkEnd w:id="170"/>
      <w:r>
        <w:t xml:space="preserve">. Then </w:t>
      </w:r>
      <w:r w:rsidRPr="00E800A1">
        <w:t xml:space="preserve">the </w:t>
      </w:r>
      <w:r w:rsidR="00635609">
        <w:t xml:space="preserve">disabling </w:t>
      </w:r>
      <w:r w:rsidR="00DC11DA">
        <w:t xml:space="preserve">mechanism </w:t>
      </w:r>
      <w:r w:rsidR="00EF0FD9" w:rsidRPr="00EF0FD9">
        <w:rPr>
          <w:i/>
          <w:iCs/>
        </w:rPr>
        <w:t>per-se</w:t>
      </w:r>
      <w:r w:rsidR="00EF0FD9">
        <w:t xml:space="preserve"> </w:t>
      </w:r>
      <w:r w:rsidRPr="00E800A1">
        <w:t xml:space="preserve">is scenario </w:t>
      </w:r>
      <w:r w:rsidR="00FB300A" w:rsidRPr="00E800A1">
        <w:t>agnostic</w:t>
      </w:r>
      <w:r w:rsidR="00EF0FD9">
        <w:t>, but no its benefits since in some scenarios the reliability provided by the HARQ feedback</w:t>
      </w:r>
      <w:r w:rsidR="00FF70F5">
        <w:t xml:space="preserve"> is necessary</w:t>
      </w:r>
      <w:r w:rsidR="003554AA">
        <w:t>. T</w:t>
      </w:r>
      <w:r w:rsidR="00EF0FD9">
        <w:t>hus</w:t>
      </w:r>
      <w:r w:rsidR="00635609">
        <w:t>,</w:t>
      </w:r>
      <w:r w:rsidRPr="00E800A1">
        <w:t xml:space="preserve"> it will be up to the network to enabling/disabling HARQ feedback as considered necessary.</w:t>
      </w:r>
      <w:bookmarkEnd w:id="169"/>
    </w:p>
    <w:p w14:paraId="5300F849" w14:textId="473A4B1D" w:rsidR="00C01F33" w:rsidRPr="00CE0424" w:rsidRDefault="00866186" w:rsidP="00DF5DE2">
      <w:pPr>
        <w:pStyle w:val="Heading1"/>
      </w:pPr>
      <w:r>
        <w:t>6</w:t>
      </w:r>
      <w:r w:rsidR="009D03C8">
        <w:tab/>
      </w:r>
      <w:r w:rsidR="00C01F33">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171" w:name="_In-sequence_SDU_delivery"/>
    <w:bookmarkEnd w:id="171"/>
    <w:p w14:paraId="02616081" w14:textId="0D66B897" w:rsidR="00CF20C9" w:rsidRDefault="000C11D5" w:rsidP="004F2CD0">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Pr>
          <w:b w:val="0"/>
          <w:bCs/>
        </w:rPr>
        <w:lastRenderedPageBreak/>
        <w:fldChar w:fldCharType="begin"/>
      </w:r>
      <w:r>
        <w:rPr>
          <w:b w:val="0"/>
          <w:bCs/>
        </w:rPr>
        <w:instrText xml:space="preserve"> TOC \f O \n \h \z \t "Observation" \c </w:instrText>
      </w:r>
      <w:r>
        <w:rPr>
          <w:b w:val="0"/>
          <w:bCs/>
        </w:rPr>
        <w:fldChar w:fldCharType="separate"/>
      </w:r>
      <w:hyperlink w:anchor="_Toc111112450" w:history="1">
        <w:r w:rsidR="00CF20C9" w:rsidRPr="00721EAB">
          <w:rPr>
            <w:rStyle w:val="Hyperlink"/>
            <w:noProof/>
          </w:rPr>
          <w:t>Observation 1</w:t>
        </w:r>
        <w:r w:rsidR="00CF20C9">
          <w:rPr>
            <w:rFonts w:asciiTheme="minorHAnsi" w:eastAsiaTheme="minorEastAsia" w:hAnsiTheme="minorHAnsi" w:cstheme="minorBidi"/>
            <w:b w:val="0"/>
            <w:noProof/>
            <w:sz w:val="22"/>
            <w:szCs w:val="22"/>
            <w:lang w:val="en-SE" w:eastAsia="en-SE"/>
          </w:rPr>
          <w:tab/>
        </w:r>
        <w:r w:rsidR="00CF20C9" w:rsidRPr="00721EAB">
          <w:rPr>
            <w:rStyle w:val="Hyperlink"/>
            <w:noProof/>
          </w:rPr>
          <w:t>Although disabling HARQ feedback can be beneficial, in IoT NTN there is a variety of scenarios and in some cases keeping HARQ feedback enabled is possible without incurring into the so called “HARQ stalling” issue.</w:t>
        </w:r>
      </w:hyperlink>
    </w:p>
    <w:p w14:paraId="6CBFEDE2" w14:textId="5B526E9D" w:rsidR="00CF20C9" w:rsidRDefault="004F2CD0" w:rsidP="004F2CD0">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11112451" w:history="1">
        <w:r w:rsidR="00CF20C9" w:rsidRPr="00721EAB">
          <w:rPr>
            <w:rStyle w:val="Hyperlink"/>
            <w:noProof/>
          </w:rPr>
          <w:t>Observation 2</w:t>
        </w:r>
        <w:r w:rsidR="00CF20C9">
          <w:rPr>
            <w:rFonts w:asciiTheme="minorHAnsi" w:eastAsiaTheme="minorEastAsia" w:hAnsiTheme="minorHAnsi" w:cstheme="minorBidi"/>
            <w:b w:val="0"/>
            <w:noProof/>
            <w:sz w:val="22"/>
            <w:szCs w:val="22"/>
            <w:lang w:val="en-SE" w:eastAsia="en-SE"/>
          </w:rPr>
          <w:tab/>
        </w:r>
        <w:r w:rsidR="00CF20C9" w:rsidRPr="00721EAB">
          <w:rPr>
            <w:rStyle w:val="Hyperlink"/>
            <w:noProof/>
          </w:rPr>
          <w:t>Alleviating the “HARQ stalling” issue through disabling HARQ feedback comes at the cost of compromising reliability, and not all possible IoT NTN scenarios need to sacrifice reliability.</w:t>
        </w:r>
      </w:hyperlink>
    </w:p>
    <w:p w14:paraId="1A15D9B6" w14:textId="03172D10" w:rsidR="00CF20C9" w:rsidRDefault="004F2CD0" w:rsidP="004F2CD0">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11112452" w:history="1">
        <w:r w:rsidR="00CF20C9" w:rsidRPr="00721EAB">
          <w:rPr>
            <w:rStyle w:val="Hyperlink"/>
            <w:noProof/>
          </w:rPr>
          <w:t>Observation 3</w:t>
        </w:r>
        <w:r w:rsidR="00CF20C9">
          <w:rPr>
            <w:rFonts w:asciiTheme="minorHAnsi" w:eastAsiaTheme="minorEastAsia" w:hAnsiTheme="minorHAnsi" w:cstheme="minorBidi"/>
            <w:b w:val="0"/>
            <w:noProof/>
            <w:sz w:val="22"/>
            <w:szCs w:val="22"/>
            <w:lang w:val="en-SE" w:eastAsia="en-SE"/>
          </w:rPr>
          <w:tab/>
        </w:r>
        <w:r w:rsidR="00CF20C9" w:rsidRPr="00721EAB">
          <w:rPr>
            <w:rStyle w:val="Hyperlink"/>
            <w:noProof/>
          </w:rPr>
          <w:t>The IoT NTN technology should have the possibility of disabling/enabling the HARQ feedback on a per-need basis to deal with a variety of IoT NTN scenarios.</w:t>
        </w:r>
      </w:hyperlink>
    </w:p>
    <w:p w14:paraId="534DE72B" w14:textId="4895DF7D" w:rsidR="00CF20C9" w:rsidRDefault="004F2CD0" w:rsidP="004F2CD0">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11112453" w:history="1">
        <w:r w:rsidR="00CF20C9" w:rsidRPr="00721EAB">
          <w:rPr>
            <w:rStyle w:val="Hyperlink"/>
            <w:noProof/>
          </w:rPr>
          <w:t>Observation 4</w:t>
        </w:r>
        <w:r w:rsidR="00CF20C9">
          <w:rPr>
            <w:rFonts w:asciiTheme="minorHAnsi" w:eastAsiaTheme="minorEastAsia" w:hAnsiTheme="minorHAnsi" w:cstheme="minorBidi"/>
            <w:b w:val="0"/>
            <w:noProof/>
            <w:sz w:val="22"/>
            <w:szCs w:val="22"/>
            <w:lang w:val="en-SE" w:eastAsia="en-SE"/>
          </w:rPr>
          <w:tab/>
        </w:r>
        <w:r w:rsidR="00CF20C9" w:rsidRPr="00721EAB">
          <w:rPr>
            <w:rStyle w:val="Hyperlink"/>
            <w:noProof/>
          </w:rPr>
          <w:t>To keep the HARQ feedback enabled, the Rel-17 state-of-art features for LTE-MTC and NB-IoT can be used with no further optimization to mitigate the HARQ stalling on UE data rates.</w:t>
        </w:r>
      </w:hyperlink>
    </w:p>
    <w:p w14:paraId="6EAA4478" w14:textId="2BE26B11" w:rsidR="00CF20C9" w:rsidRDefault="004F2CD0" w:rsidP="004F2CD0">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11112454" w:history="1">
        <w:r w:rsidR="00CF20C9" w:rsidRPr="00721EAB">
          <w:rPr>
            <w:rStyle w:val="Hyperlink"/>
            <w:noProof/>
          </w:rPr>
          <w:t>Observation 5</w:t>
        </w:r>
        <w:r w:rsidR="00CF20C9">
          <w:rPr>
            <w:rFonts w:asciiTheme="minorHAnsi" w:eastAsiaTheme="minorEastAsia" w:hAnsiTheme="minorHAnsi" w:cstheme="minorBidi"/>
            <w:b w:val="0"/>
            <w:noProof/>
            <w:sz w:val="22"/>
            <w:szCs w:val="22"/>
            <w:lang w:val="en-SE" w:eastAsia="en-SE"/>
          </w:rPr>
          <w:tab/>
        </w:r>
        <w:r w:rsidR="00CF20C9" w:rsidRPr="00721EAB">
          <w:rPr>
            <w:rStyle w:val="Hyperlink"/>
            <w:noProof/>
          </w:rPr>
          <w:t>In RAN1# 109e, there were agreements for IoT NTN considering both approaches i.e., enabling/disabling HARQ feedback [3].</w:t>
        </w:r>
      </w:hyperlink>
    </w:p>
    <w:p w14:paraId="1511A65C" w14:textId="2A9A271F" w:rsidR="00CF20C9" w:rsidRDefault="004F2CD0" w:rsidP="004F2CD0">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11112455" w:history="1">
        <w:r w:rsidR="00CF20C9" w:rsidRPr="00721EAB">
          <w:rPr>
            <w:rStyle w:val="Hyperlink"/>
            <w:noProof/>
          </w:rPr>
          <w:t>Observation 6</w:t>
        </w:r>
        <w:r w:rsidR="00CF20C9">
          <w:rPr>
            <w:rFonts w:asciiTheme="minorHAnsi" w:eastAsiaTheme="minorEastAsia" w:hAnsiTheme="minorHAnsi" w:cstheme="minorBidi"/>
            <w:b w:val="0"/>
            <w:noProof/>
            <w:sz w:val="22"/>
            <w:szCs w:val="22"/>
            <w:lang w:val="en-SE" w:eastAsia="en-SE"/>
          </w:rPr>
          <w:tab/>
        </w:r>
        <w:r w:rsidR="00CF20C9" w:rsidRPr="00721EAB">
          <w:rPr>
            <w:rStyle w:val="Hyperlink"/>
            <w:noProof/>
          </w:rPr>
          <w:t>To indicate whether HARQ feedback is enabled/disabled for “LTE-MTC over NTN”, the following advantages have been identified if dynamic signalling via DCI is used:</w:t>
        </w:r>
      </w:hyperlink>
    </w:p>
    <w:p w14:paraId="6127C726" w14:textId="5F091371" w:rsidR="00CF20C9" w:rsidRDefault="004F2CD0" w:rsidP="004F2CD0">
      <w:pPr>
        <w:pStyle w:val="TableofFigures"/>
        <w:tabs>
          <w:tab w:val="right" w:leader="dot" w:pos="9629"/>
        </w:tabs>
        <w:ind w:left="2268" w:hanging="283"/>
        <w:jc w:val="both"/>
        <w:rPr>
          <w:rFonts w:asciiTheme="minorHAnsi" w:eastAsiaTheme="minorEastAsia" w:hAnsiTheme="minorHAnsi" w:cstheme="minorBidi"/>
          <w:b w:val="0"/>
          <w:noProof/>
          <w:sz w:val="22"/>
          <w:szCs w:val="22"/>
          <w:lang w:val="en-SE" w:eastAsia="en-SE"/>
        </w:rPr>
      </w:pPr>
      <w:hyperlink w:anchor="_Toc111112456" w:history="1">
        <w:r w:rsidR="00CF20C9" w:rsidRPr="00721EAB">
          <w:rPr>
            <w:rStyle w:val="Hyperlink"/>
            <w:rFonts w:ascii="Symbol" w:hAnsi="Symbol"/>
            <w:noProof/>
          </w:rPr>
          <w:t></w:t>
        </w:r>
        <w:r w:rsidR="00CF20C9">
          <w:rPr>
            <w:rFonts w:asciiTheme="minorHAnsi" w:eastAsiaTheme="minorEastAsia" w:hAnsiTheme="minorHAnsi" w:cstheme="minorBidi"/>
            <w:b w:val="0"/>
            <w:noProof/>
            <w:sz w:val="22"/>
            <w:szCs w:val="22"/>
            <w:lang w:val="en-SE" w:eastAsia="en-SE"/>
          </w:rPr>
          <w:tab/>
        </w:r>
        <w:r w:rsidR="00CF20C9" w:rsidRPr="00721EAB">
          <w:rPr>
            <w:rStyle w:val="Hyperlink"/>
            <w:noProof/>
          </w:rPr>
          <w:t>In legacy, the “</w:t>
        </w:r>
        <w:r w:rsidR="00CF20C9" w:rsidRPr="00721EAB">
          <w:rPr>
            <w:rStyle w:val="Hyperlink"/>
            <w:i/>
            <w:iCs/>
            <w:noProof/>
          </w:rPr>
          <w:t>HARQ process number</w:t>
        </w:r>
        <w:r w:rsidR="00CF20C9" w:rsidRPr="00721EAB">
          <w:rPr>
            <w:rStyle w:val="Hyperlink"/>
            <w:noProof/>
          </w:rPr>
          <w:t>” is indicated via DCI in both CE Mode A and B, thus as complementary information it can be indicated whether such “</w:t>
        </w:r>
        <w:r w:rsidR="00CF20C9" w:rsidRPr="00721EAB">
          <w:rPr>
            <w:rStyle w:val="Hyperlink"/>
            <w:i/>
            <w:iCs/>
            <w:noProof/>
          </w:rPr>
          <w:t>HARQ process number</w:t>
        </w:r>
        <w:r w:rsidR="00CF20C9" w:rsidRPr="00721EAB">
          <w:rPr>
            <w:rStyle w:val="Hyperlink"/>
            <w:noProof/>
          </w:rPr>
          <w:t>” will use HARQ feedback enabled/disabled.</w:t>
        </w:r>
      </w:hyperlink>
    </w:p>
    <w:p w14:paraId="4E0FF1B1" w14:textId="615B7287" w:rsidR="00CF20C9" w:rsidRDefault="004F2CD0" w:rsidP="004F2CD0">
      <w:pPr>
        <w:pStyle w:val="TableofFigures"/>
        <w:tabs>
          <w:tab w:val="right" w:leader="dot" w:pos="9629"/>
        </w:tabs>
        <w:ind w:left="2268" w:hanging="283"/>
        <w:jc w:val="both"/>
        <w:rPr>
          <w:rFonts w:asciiTheme="minorHAnsi" w:eastAsiaTheme="minorEastAsia" w:hAnsiTheme="minorHAnsi" w:cstheme="minorBidi"/>
          <w:b w:val="0"/>
          <w:noProof/>
          <w:sz w:val="22"/>
          <w:szCs w:val="22"/>
          <w:lang w:val="en-SE" w:eastAsia="en-SE"/>
        </w:rPr>
      </w:pPr>
      <w:hyperlink w:anchor="_Toc111112457" w:history="1">
        <w:r w:rsidR="00CF20C9" w:rsidRPr="00721EAB">
          <w:rPr>
            <w:rStyle w:val="Hyperlink"/>
            <w:rFonts w:ascii="Symbol" w:hAnsi="Symbol"/>
            <w:noProof/>
          </w:rPr>
          <w:t></w:t>
        </w:r>
        <w:r w:rsidR="00CF20C9">
          <w:rPr>
            <w:rFonts w:asciiTheme="minorHAnsi" w:eastAsiaTheme="minorEastAsia" w:hAnsiTheme="minorHAnsi" w:cstheme="minorBidi"/>
            <w:b w:val="0"/>
            <w:noProof/>
            <w:sz w:val="22"/>
            <w:szCs w:val="22"/>
            <w:lang w:val="en-SE" w:eastAsia="en-SE"/>
          </w:rPr>
          <w:tab/>
        </w:r>
        <w:r w:rsidR="00CF20C9" w:rsidRPr="00721EAB">
          <w:rPr>
            <w:rStyle w:val="Hyperlink"/>
            <w:noProof/>
          </w:rPr>
          <w:t>Dynamic signalling will allow adapting faster to changes/variations in the IoT-NTN scenarios. Otherwise, e.g., with RRC signalling, it will be required performing first a re-configuration to enabling/disabling HARQ feedback before being able to act on the scenario’s needs.</w:t>
        </w:r>
      </w:hyperlink>
    </w:p>
    <w:p w14:paraId="54B7FAED" w14:textId="6679B836" w:rsidR="00CF20C9" w:rsidRDefault="004F2CD0" w:rsidP="004F2CD0">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11112458" w:history="1">
        <w:r w:rsidR="00CF20C9" w:rsidRPr="00721EAB">
          <w:rPr>
            <w:rStyle w:val="Hyperlink"/>
            <w:noProof/>
          </w:rPr>
          <w:t>Observation 7</w:t>
        </w:r>
        <w:r w:rsidR="00CF20C9">
          <w:rPr>
            <w:rFonts w:asciiTheme="minorHAnsi" w:eastAsiaTheme="minorEastAsia" w:hAnsiTheme="minorHAnsi" w:cstheme="minorBidi"/>
            <w:b w:val="0"/>
            <w:noProof/>
            <w:sz w:val="22"/>
            <w:szCs w:val="22"/>
            <w:lang w:val="en-SE" w:eastAsia="en-SE"/>
          </w:rPr>
          <w:tab/>
        </w:r>
        <w:r w:rsidR="00CF20C9" w:rsidRPr="00721EAB">
          <w:rPr>
            <w:rStyle w:val="Hyperlink"/>
            <w:noProof/>
          </w:rPr>
          <w:t>To indicate whether HARQ feedback is enabled/disabled for “NB-IoT over NTN”, the following advantages have been identified if dynamic signalling via DCI is used:</w:t>
        </w:r>
      </w:hyperlink>
    </w:p>
    <w:p w14:paraId="312237F5" w14:textId="2CD46688" w:rsidR="00CF20C9" w:rsidRDefault="004F2CD0" w:rsidP="004F2CD0">
      <w:pPr>
        <w:pStyle w:val="TableofFigures"/>
        <w:tabs>
          <w:tab w:val="right" w:leader="dot" w:pos="9629"/>
        </w:tabs>
        <w:ind w:left="2268" w:hanging="283"/>
        <w:jc w:val="both"/>
        <w:rPr>
          <w:rFonts w:asciiTheme="minorHAnsi" w:eastAsiaTheme="minorEastAsia" w:hAnsiTheme="minorHAnsi" w:cstheme="minorBidi"/>
          <w:b w:val="0"/>
          <w:noProof/>
          <w:sz w:val="22"/>
          <w:szCs w:val="22"/>
          <w:lang w:val="en-SE" w:eastAsia="en-SE"/>
        </w:rPr>
      </w:pPr>
      <w:hyperlink w:anchor="_Toc111112459" w:history="1">
        <w:r w:rsidR="00CF20C9" w:rsidRPr="00721EAB">
          <w:rPr>
            <w:rStyle w:val="Hyperlink"/>
            <w:rFonts w:ascii="Symbol" w:hAnsi="Symbol"/>
            <w:noProof/>
          </w:rPr>
          <w:t></w:t>
        </w:r>
        <w:r w:rsidR="00CF20C9">
          <w:rPr>
            <w:rFonts w:asciiTheme="minorHAnsi" w:eastAsiaTheme="minorEastAsia" w:hAnsiTheme="minorHAnsi" w:cstheme="minorBidi"/>
            <w:b w:val="0"/>
            <w:noProof/>
            <w:sz w:val="22"/>
            <w:szCs w:val="22"/>
            <w:lang w:val="en-SE" w:eastAsia="en-SE"/>
          </w:rPr>
          <w:tab/>
        </w:r>
        <w:r w:rsidR="00CF20C9" w:rsidRPr="00721EAB">
          <w:rPr>
            <w:rStyle w:val="Hyperlink"/>
            <w:noProof/>
          </w:rPr>
          <w:t>In legacy, the “</w:t>
        </w:r>
        <w:r w:rsidR="00CF20C9" w:rsidRPr="00721EAB">
          <w:rPr>
            <w:rStyle w:val="Hyperlink"/>
            <w:i/>
            <w:iCs/>
            <w:noProof/>
          </w:rPr>
          <w:t>HARQ process number</w:t>
        </w:r>
        <w:r w:rsidR="00CF20C9" w:rsidRPr="00721EAB">
          <w:rPr>
            <w:rStyle w:val="Hyperlink"/>
            <w:noProof/>
          </w:rPr>
          <w:t>” is indicated via DCI Format N1, thus as complementary information it can be indicated whether such “</w:t>
        </w:r>
        <w:r w:rsidR="00CF20C9" w:rsidRPr="00721EAB">
          <w:rPr>
            <w:rStyle w:val="Hyperlink"/>
            <w:i/>
            <w:iCs/>
            <w:noProof/>
          </w:rPr>
          <w:t>HARQ process number</w:t>
        </w:r>
        <w:r w:rsidR="00CF20C9" w:rsidRPr="00721EAB">
          <w:rPr>
            <w:rStyle w:val="Hyperlink"/>
            <w:noProof/>
          </w:rPr>
          <w:t>” will use HARQ feedback enabled/disabled.</w:t>
        </w:r>
      </w:hyperlink>
    </w:p>
    <w:p w14:paraId="08C96E06" w14:textId="00A0CBB4" w:rsidR="00CF20C9" w:rsidRDefault="004F2CD0" w:rsidP="004F2CD0">
      <w:pPr>
        <w:pStyle w:val="TableofFigures"/>
        <w:tabs>
          <w:tab w:val="right" w:leader="dot" w:pos="9629"/>
        </w:tabs>
        <w:ind w:left="2268" w:hanging="283"/>
        <w:jc w:val="both"/>
        <w:rPr>
          <w:rFonts w:asciiTheme="minorHAnsi" w:eastAsiaTheme="minorEastAsia" w:hAnsiTheme="minorHAnsi" w:cstheme="minorBidi"/>
          <w:b w:val="0"/>
          <w:noProof/>
          <w:sz w:val="22"/>
          <w:szCs w:val="22"/>
          <w:lang w:val="en-SE" w:eastAsia="en-SE"/>
        </w:rPr>
      </w:pPr>
      <w:hyperlink w:anchor="_Toc111112460" w:history="1">
        <w:r w:rsidR="00CF20C9" w:rsidRPr="00721EAB">
          <w:rPr>
            <w:rStyle w:val="Hyperlink"/>
            <w:rFonts w:ascii="Symbol" w:hAnsi="Symbol"/>
            <w:noProof/>
          </w:rPr>
          <w:t></w:t>
        </w:r>
        <w:r w:rsidR="00CF20C9">
          <w:rPr>
            <w:rFonts w:asciiTheme="minorHAnsi" w:eastAsiaTheme="minorEastAsia" w:hAnsiTheme="minorHAnsi" w:cstheme="minorBidi"/>
            <w:b w:val="0"/>
            <w:noProof/>
            <w:sz w:val="22"/>
            <w:szCs w:val="22"/>
            <w:lang w:val="en-SE" w:eastAsia="en-SE"/>
          </w:rPr>
          <w:tab/>
        </w:r>
        <w:r w:rsidR="00CF20C9" w:rsidRPr="00721EAB">
          <w:rPr>
            <w:rStyle w:val="Hyperlink"/>
            <w:noProof/>
          </w:rPr>
          <w:t>Dynamic signalling will allow adapting faster to changes/variations in the IoT-NTN scenarios. Otherwise, e.g., with RRC signalling, it will be required performing first a re-configuration to enabling/disabling HARQ feedback before being able to act on the scenario’s needs.</w:t>
        </w:r>
      </w:hyperlink>
    </w:p>
    <w:p w14:paraId="328EA29D" w14:textId="01F69B17" w:rsidR="00CF20C9" w:rsidRDefault="004F2CD0" w:rsidP="004F2CD0">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11112461" w:history="1">
        <w:r w:rsidR="00CF20C9" w:rsidRPr="00721EAB">
          <w:rPr>
            <w:rStyle w:val="Hyperlink"/>
            <w:noProof/>
          </w:rPr>
          <w:t>Observation 8</w:t>
        </w:r>
        <w:r w:rsidR="00CF20C9">
          <w:rPr>
            <w:rFonts w:asciiTheme="minorHAnsi" w:eastAsiaTheme="minorEastAsia" w:hAnsiTheme="minorHAnsi" w:cstheme="minorBidi"/>
            <w:b w:val="0"/>
            <w:noProof/>
            <w:sz w:val="22"/>
            <w:szCs w:val="22"/>
            <w:lang w:val="en-SE" w:eastAsia="en-SE"/>
          </w:rPr>
          <w:tab/>
        </w:r>
        <w:r w:rsidR="00CF20C9" w:rsidRPr="00721EAB">
          <w:rPr>
            <w:rStyle w:val="Hyperlink"/>
            <w:noProof/>
          </w:rPr>
          <w:t>The “</w:t>
        </w:r>
        <w:r w:rsidR="00CF20C9" w:rsidRPr="00721EAB">
          <w:rPr>
            <w:rStyle w:val="Hyperlink"/>
            <w:i/>
            <w:iCs/>
            <w:noProof/>
          </w:rPr>
          <w:t xml:space="preserve">potential issues due to enabling/disabling on HARQ feedback” </w:t>
        </w:r>
        <w:r w:rsidR="00CF20C9" w:rsidRPr="00721EAB">
          <w:rPr>
            <w:rStyle w:val="Hyperlink"/>
            <w:noProof/>
          </w:rPr>
          <w:t>can in principle be analysed from a high-level perspective on whether no transmitting PUCCH will result to be problematic or unfeasible for a given feature, but the complete analysis will depend on the actual candidate solution(s) performing the disabling approach.</w:t>
        </w:r>
      </w:hyperlink>
    </w:p>
    <w:p w14:paraId="250130FC" w14:textId="6F34A148" w:rsidR="00CF20C9" w:rsidRDefault="004F2CD0" w:rsidP="004F2CD0">
      <w:pPr>
        <w:pStyle w:val="TableofFigures"/>
        <w:tabs>
          <w:tab w:val="right" w:leader="dot" w:pos="9629"/>
        </w:tabs>
        <w:jc w:val="both"/>
        <w:rPr>
          <w:rStyle w:val="Hyperlink"/>
          <w:noProof/>
        </w:rPr>
      </w:pPr>
      <w:hyperlink w:anchor="_Toc111112462" w:history="1">
        <w:r w:rsidR="00CF20C9" w:rsidRPr="00721EAB">
          <w:rPr>
            <w:rStyle w:val="Hyperlink"/>
            <w:noProof/>
          </w:rPr>
          <w:t>Observation 9</w:t>
        </w:r>
        <w:r w:rsidR="00CF20C9">
          <w:rPr>
            <w:rFonts w:asciiTheme="minorHAnsi" w:eastAsiaTheme="minorEastAsia" w:hAnsiTheme="minorHAnsi" w:cstheme="minorBidi"/>
            <w:b w:val="0"/>
            <w:noProof/>
            <w:sz w:val="22"/>
            <w:szCs w:val="22"/>
            <w:lang w:val="en-SE" w:eastAsia="en-SE"/>
          </w:rPr>
          <w:tab/>
        </w:r>
        <w:r w:rsidR="00CF20C9" w:rsidRPr="00721EAB">
          <w:rPr>
            <w:rStyle w:val="Hyperlink"/>
            <w:noProof/>
          </w:rPr>
          <w:t>From an “LTE-MTC over NTN” perspective, our preliminary view on the potential issues listed in the agreement from RAN1# 109-e is as follows:</w:t>
        </w:r>
      </w:hyperlink>
    </w:p>
    <w:tbl>
      <w:tblPr>
        <w:tblStyle w:val="TableGrid"/>
        <w:tblW w:w="0" w:type="auto"/>
        <w:tblInd w:w="1701" w:type="dxa"/>
        <w:tblLook w:val="04A0" w:firstRow="1" w:lastRow="0" w:firstColumn="1" w:lastColumn="0" w:noHBand="0" w:noVBand="1"/>
      </w:tblPr>
      <w:tblGrid>
        <w:gridCol w:w="3988"/>
        <w:gridCol w:w="3940"/>
      </w:tblGrid>
      <w:tr w:rsidR="00CF20C9" w14:paraId="425C98FD" w14:textId="77777777" w:rsidTr="00AD25EE">
        <w:tc>
          <w:tcPr>
            <w:tcW w:w="4814" w:type="dxa"/>
          </w:tcPr>
          <w:p w14:paraId="428621CA" w14:textId="77777777" w:rsidR="00CF20C9" w:rsidRPr="00B3729E" w:rsidRDefault="00CF20C9" w:rsidP="004F2CD0">
            <w:pPr>
              <w:pStyle w:val="Observation"/>
              <w:numPr>
                <w:ilvl w:val="0"/>
                <w:numId w:val="0"/>
              </w:numPr>
              <w:rPr>
                <w:sz w:val="14"/>
                <w:szCs w:val="14"/>
              </w:rPr>
            </w:pPr>
            <w:r w:rsidRPr="00B3729E">
              <w:rPr>
                <w:sz w:val="14"/>
                <w:szCs w:val="14"/>
              </w:rPr>
              <w:t>Listed issue as per RAN1# 109-e</w:t>
            </w:r>
          </w:p>
        </w:tc>
        <w:tc>
          <w:tcPr>
            <w:tcW w:w="4815" w:type="dxa"/>
          </w:tcPr>
          <w:p w14:paraId="2ECB2524" w14:textId="77777777" w:rsidR="00CF20C9" w:rsidRPr="00B3729E" w:rsidRDefault="00CF20C9" w:rsidP="004F2CD0">
            <w:pPr>
              <w:pStyle w:val="Observation"/>
              <w:numPr>
                <w:ilvl w:val="0"/>
                <w:numId w:val="0"/>
              </w:numPr>
              <w:rPr>
                <w:sz w:val="14"/>
                <w:szCs w:val="14"/>
              </w:rPr>
            </w:pPr>
            <w:r w:rsidRPr="00B3729E">
              <w:rPr>
                <w:sz w:val="14"/>
                <w:szCs w:val="14"/>
              </w:rPr>
              <w:t>Preliminary view</w:t>
            </w:r>
          </w:p>
        </w:tc>
      </w:tr>
      <w:tr w:rsidR="00CF20C9" w14:paraId="1CE56539" w14:textId="77777777" w:rsidTr="00AD25EE">
        <w:tc>
          <w:tcPr>
            <w:tcW w:w="4814" w:type="dxa"/>
          </w:tcPr>
          <w:p w14:paraId="7566039D" w14:textId="77777777" w:rsidR="00CF20C9" w:rsidRPr="00B3729E" w:rsidRDefault="00CF20C9" w:rsidP="004F2CD0">
            <w:pPr>
              <w:pStyle w:val="Observation"/>
              <w:numPr>
                <w:ilvl w:val="0"/>
                <w:numId w:val="0"/>
              </w:numPr>
              <w:rPr>
                <w:sz w:val="14"/>
                <w:szCs w:val="14"/>
              </w:rPr>
            </w:pPr>
            <w:r w:rsidRPr="00B3729E">
              <w:rPr>
                <w:sz w:val="14"/>
                <w:szCs w:val="14"/>
              </w:rPr>
              <w:t>Issue A: SPS PDSCH</w:t>
            </w:r>
          </w:p>
        </w:tc>
        <w:tc>
          <w:tcPr>
            <w:tcW w:w="4815" w:type="dxa"/>
          </w:tcPr>
          <w:p w14:paraId="65A598D7" w14:textId="77777777" w:rsidR="00CF20C9" w:rsidRPr="00B3729E" w:rsidRDefault="00CF20C9" w:rsidP="004F2CD0">
            <w:pPr>
              <w:pStyle w:val="Observation"/>
              <w:numPr>
                <w:ilvl w:val="0"/>
                <w:numId w:val="0"/>
              </w:numPr>
              <w:rPr>
                <w:sz w:val="14"/>
                <w:szCs w:val="14"/>
              </w:rPr>
            </w:pPr>
            <w:r w:rsidRPr="00B3729E">
              <w:rPr>
                <w:sz w:val="14"/>
                <w:szCs w:val="14"/>
              </w:rPr>
              <w:t>Using SPS along with enabling/disabling HARQ feedback is foreseen not to be transparent, since it seems that enabling/disabling of HARQ feedback may have to be added as part of the SPS configuration (i.e., along with MCS, number of repetitions, etc). Thus, RAN1 should ponder the importance of SPS for LTE-MTC over NTN as to justify the potential specification impact.</w:t>
            </w:r>
          </w:p>
        </w:tc>
      </w:tr>
      <w:tr w:rsidR="00CF20C9" w14:paraId="0364C723" w14:textId="77777777" w:rsidTr="00AD25EE">
        <w:tc>
          <w:tcPr>
            <w:tcW w:w="4814" w:type="dxa"/>
          </w:tcPr>
          <w:p w14:paraId="2768EB83" w14:textId="77777777" w:rsidR="00CF20C9" w:rsidRPr="00B3729E" w:rsidRDefault="00CF20C9" w:rsidP="004F2CD0">
            <w:pPr>
              <w:pStyle w:val="Observation"/>
              <w:numPr>
                <w:ilvl w:val="0"/>
                <w:numId w:val="0"/>
              </w:numPr>
              <w:rPr>
                <w:sz w:val="14"/>
                <w:szCs w:val="14"/>
              </w:rPr>
            </w:pPr>
            <w:r w:rsidRPr="00B3729E">
              <w:rPr>
                <w:sz w:val="14"/>
                <w:szCs w:val="14"/>
              </w:rPr>
              <w:t>Issue B: (N)PDSCH/(N)PDCCH scheduling restriction</w:t>
            </w:r>
          </w:p>
        </w:tc>
        <w:tc>
          <w:tcPr>
            <w:tcW w:w="4815" w:type="dxa"/>
          </w:tcPr>
          <w:p w14:paraId="7F1FD614" w14:textId="77777777" w:rsidR="00CF20C9" w:rsidRPr="00B3729E" w:rsidRDefault="00CF20C9" w:rsidP="004F2CD0">
            <w:pPr>
              <w:pStyle w:val="Observation"/>
              <w:numPr>
                <w:ilvl w:val="0"/>
                <w:numId w:val="0"/>
              </w:numPr>
              <w:rPr>
                <w:sz w:val="14"/>
                <w:szCs w:val="14"/>
              </w:rPr>
            </w:pPr>
            <w:r w:rsidRPr="00B3729E">
              <w:rPr>
                <w:sz w:val="14"/>
                <w:szCs w:val="14"/>
              </w:rPr>
              <w:t>This issue has to do with “legacy processing delays”. Those “legacy processing delays” are an important part of what makes the IoT technologies hav</w:t>
            </w:r>
            <w:r>
              <w:rPr>
                <w:sz w:val="14"/>
                <w:szCs w:val="14"/>
              </w:rPr>
              <w:t>ing</w:t>
            </w:r>
            <w:r w:rsidRPr="00B3729E">
              <w:rPr>
                <w:sz w:val="14"/>
                <w:szCs w:val="14"/>
              </w:rPr>
              <w:t xml:space="preserve"> a low complexity and </w:t>
            </w:r>
            <w:r>
              <w:rPr>
                <w:sz w:val="14"/>
                <w:szCs w:val="14"/>
              </w:rPr>
              <w:t xml:space="preserve">a </w:t>
            </w:r>
            <w:r w:rsidRPr="00B3729E">
              <w:rPr>
                <w:sz w:val="14"/>
                <w:szCs w:val="14"/>
              </w:rPr>
              <w:t>low cost, thus</w:t>
            </w:r>
            <w:r>
              <w:rPr>
                <w:sz w:val="14"/>
                <w:szCs w:val="14"/>
              </w:rPr>
              <w:t xml:space="preserve"> in our view any design to </w:t>
            </w:r>
            <w:r w:rsidRPr="00B3729E">
              <w:rPr>
                <w:sz w:val="14"/>
                <w:szCs w:val="14"/>
              </w:rPr>
              <w:t>“</w:t>
            </w:r>
            <w:r>
              <w:rPr>
                <w:sz w:val="14"/>
                <w:szCs w:val="14"/>
              </w:rPr>
              <w:t>disabling the HARQ feedback</w:t>
            </w:r>
            <w:r w:rsidRPr="00B3729E">
              <w:rPr>
                <w:sz w:val="14"/>
                <w:szCs w:val="14"/>
              </w:rPr>
              <w:t>”</w:t>
            </w:r>
            <w:r>
              <w:rPr>
                <w:sz w:val="14"/>
                <w:szCs w:val="14"/>
              </w:rPr>
              <w:t xml:space="preserve"> should aim to keep the legacy </w:t>
            </w:r>
            <w:r w:rsidRPr="00B3729E">
              <w:rPr>
                <w:sz w:val="14"/>
                <w:szCs w:val="14"/>
              </w:rPr>
              <w:t>“legacy processing delays”</w:t>
            </w:r>
            <w:r>
              <w:rPr>
                <w:sz w:val="14"/>
                <w:szCs w:val="14"/>
              </w:rPr>
              <w:t xml:space="preserve"> unmodified</w:t>
            </w:r>
            <w:r w:rsidRPr="00B3729E">
              <w:rPr>
                <w:sz w:val="14"/>
                <w:szCs w:val="14"/>
              </w:rPr>
              <w:t>.</w:t>
            </w:r>
            <w:r>
              <w:rPr>
                <w:sz w:val="14"/>
                <w:szCs w:val="14"/>
              </w:rPr>
              <w:t xml:space="preserve"> We elaborate more on it in section 5.1.</w:t>
            </w:r>
          </w:p>
        </w:tc>
      </w:tr>
      <w:tr w:rsidR="00CF20C9" w14:paraId="6FDACC44" w14:textId="77777777" w:rsidTr="00AD25EE">
        <w:tc>
          <w:tcPr>
            <w:tcW w:w="4814" w:type="dxa"/>
          </w:tcPr>
          <w:p w14:paraId="4C384595" w14:textId="77777777" w:rsidR="00CF20C9" w:rsidRPr="00B3729E" w:rsidRDefault="00CF20C9" w:rsidP="004F2CD0">
            <w:pPr>
              <w:pStyle w:val="Observation"/>
              <w:numPr>
                <w:ilvl w:val="0"/>
                <w:numId w:val="0"/>
              </w:numPr>
              <w:rPr>
                <w:sz w:val="14"/>
                <w:szCs w:val="14"/>
              </w:rPr>
            </w:pPr>
            <w:r w:rsidRPr="00B3729E">
              <w:rPr>
                <w:sz w:val="14"/>
                <w:szCs w:val="14"/>
              </w:rPr>
              <w:t>Issue C: HARQ feedback for scheduling multiple TB</w:t>
            </w:r>
          </w:p>
        </w:tc>
        <w:tc>
          <w:tcPr>
            <w:tcW w:w="4815" w:type="dxa"/>
          </w:tcPr>
          <w:p w14:paraId="25D243FD" w14:textId="77777777" w:rsidR="00CF20C9" w:rsidRDefault="00CF20C9" w:rsidP="004F2CD0">
            <w:pPr>
              <w:pStyle w:val="Observation"/>
              <w:numPr>
                <w:ilvl w:val="0"/>
                <w:numId w:val="0"/>
              </w:numPr>
              <w:rPr>
                <w:sz w:val="14"/>
                <w:szCs w:val="14"/>
              </w:rPr>
            </w:pPr>
            <w:r>
              <w:rPr>
                <w:sz w:val="14"/>
                <w:szCs w:val="14"/>
              </w:rPr>
              <w:t xml:space="preserve">Multi-TB grant allows scheduling with a single DCI </w:t>
            </w:r>
            <w:r w:rsidRPr="00A65E4F">
              <w:rPr>
                <w:sz w:val="14"/>
                <w:szCs w:val="14"/>
              </w:rPr>
              <w:t xml:space="preserve">up to 8 TBs in CE mode A, </w:t>
            </w:r>
            <w:r>
              <w:rPr>
                <w:sz w:val="14"/>
                <w:szCs w:val="14"/>
              </w:rPr>
              <w:t xml:space="preserve">and </w:t>
            </w:r>
            <w:r w:rsidRPr="00A65E4F">
              <w:rPr>
                <w:sz w:val="14"/>
                <w:szCs w:val="14"/>
              </w:rPr>
              <w:t>up to 4 TBs in CE mode B</w:t>
            </w:r>
            <w:r>
              <w:rPr>
                <w:sz w:val="14"/>
                <w:szCs w:val="14"/>
              </w:rPr>
              <w:t>, hence in CE Mode A Multi-TB grant is outperformed by single TB grant in terms of achievable data rate i</w:t>
            </w:r>
            <w:r w:rsidRPr="00B43468">
              <w:rPr>
                <w:sz w:val="14"/>
                <w:szCs w:val="14"/>
              </w:rPr>
              <w:t xml:space="preserve">f single TB </w:t>
            </w:r>
            <w:r>
              <w:rPr>
                <w:sz w:val="14"/>
                <w:szCs w:val="14"/>
              </w:rPr>
              <w:t>grant</w:t>
            </w:r>
            <w:r w:rsidRPr="00B43468">
              <w:rPr>
                <w:sz w:val="14"/>
                <w:szCs w:val="14"/>
              </w:rPr>
              <w:t xml:space="preserve"> is used </w:t>
            </w:r>
            <w:r>
              <w:rPr>
                <w:sz w:val="14"/>
                <w:szCs w:val="14"/>
              </w:rPr>
              <w:t xml:space="preserve">e.g., </w:t>
            </w:r>
            <w:r w:rsidRPr="00B43468">
              <w:rPr>
                <w:sz w:val="14"/>
                <w:szCs w:val="14"/>
              </w:rPr>
              <w:t xml:space="preserve">with </w:t>
            </w:r>
            <w:r>
              <w:rPr>
                <w:sz w:val="14"/>
                <w:szCs w:val="14"/>
              </w:rPr>
              <w:t>9 or more</w:t>
            </w:r>
            <w:r w:rsidRPr="00B43468">
              <w:rPr>
                <w:sz w:val="14"/>
                <w:szCs w:val="14"/>
              </w:rPr>
              <w:t xml:space="preserve"> HARQ processes</w:t>
            </w:r>
            <w:r>
              <w:rPr>
                <w:sz w:val="14"/>
                <w:szCs w:val="14"/>
              </w:rPr>
              <w:t>. On the other hand, up 2 HARQ processes are supported in CE ModeB.</w:t>
            </w:r>
          </w:p>
          <w:p w14:paraId="0E87191B" w14:textId="77777777" w:rsidR="00CF20C9" w:rsidRPr="00B3729E" w:rsidRDefault="00CF20C9" w:rsidP="004F2CD0">
            <w:pPr>
              <w:pStyle w:val="Observation"/>
              <w:numPr>
                <w:ilvl w:val="0"/>
                <w:numId w:val="0"/>
              </w:numPr>
              <w:rPr>
                <w:sz w:val="14"/>
                <w:szCs w:val="14"/>
              </w:rPr>
            </w:pPr>
            <w:r>
              <w:rPr>
                <w:sz w:val="14"/>
                <w:szCs w:val="14"/>
              </w:rPr>
              <w:lastRenderedPageBreak/>
              <w:t xml:space="preserve">In principle, when HARQ feedback is disabled, no issue is foreseen on Multi-TB grant nor Single-TB grant from not transmitting PUCCH, at least not as long as the </w:t>
            </w:r>
            <w:r w:rsidRPr="00B3729E">
              <w:rPr>
                <w:sz w:val="14"/>
                <w:szCs w:val="14"/>
              </w:rPr>
              <w:t>“legacy processing delays”</w:t>
            </w:r>
            <w:r>
              <w:rPr>
                <w:sz w:val="14"/>
                <w:szCs w:val="14"/>
              </w:rPr>
              <w:t xml:space="preserve"> are kept unmodified</w:t>
            </w:r>
            <w:r w:rsidRPr="00B3729E">
              <w:rPr>
                <w:sz w:val="14"/>
                <w:szCs w:val="14"/>
              </w:rPr>
              <w:t xml:space="preserve">. </w:t>
            </w:r>
            <w:r>
              <w:rPr>
                <w:sz w:val="14"/>
                <w:szCs w:val="14"/>
              </w:rPr>
              <w:t xml:space="preserve">Yet, given Single-TB grant can outperform Multi-TB grant it needs to be pondered whether the latter needs to be supported. </w:t>
            </w:r>
          </w:p>
        </w:tc>
      </w:tr>
      <w:tr w:rsidR="00CF20C9" w14:paraId="2C1162DB" w14:textId="77777777" w:rsidTr="00AD25EE">
        <w:tc>
          <w:tcPr>
            <w:tcW w:w="4814" w:type="dxa"/>
          </w:tcPr>
          <w:p w14:paraId="37DB3408" w14:textId="77777777" w:rsidR="00CF20C9" w:rsidRPr="00B3729E" w:rsidRDefault="00CF20C9" w:rsidP="004F2CD0">
            <w:pPr>
              <w:pStyle w:val="Observation"/>
              <w:numPr>
                <w:ilvl w:val="0"/>
                <w:numId w:val="0"/>
              </w:numPr>
              <w:rPr>
                <w:sz w:val="14"/>
                <w:szCs w:val="14"/>
              </w:rPr>
            </w:pPr>
            <w:r w:rsidRPr="00B3729E">
              <w:rPr>
                <w:sz w:val="14"/>
                <w:szCs w:val="14"/>
              </w:rPr>
              <w:lastRenderedPageBreak/>
              <w:t>Issue D: HARQ bundling for eMTC HD-FDD</w:t>
            </w:r>
          </w:p>
        </w:tc>
        <w:tc>
          <w:tcPr>
            <w:tcW w:w="4815" w:type="dxa"/>
          </w:tcPr>
          <w:p w14:paraId="6F67DCF6" w14:textId="77777777" w:rsidR="00CF20C9" w:rsidRDefault="00CF20C9" w:rsidP="004F2CD0">
            <w:pPr>
              <w:pStyle w:val="Observation"/>
              <w:numPr>
                <w:ilvl w:val="0"/>
                <w:numId w:val="0"/>
              </w:numPr>
              <w:rPr>
                <w:sz w:val="14"/>
                <w:szCs w:val="14"/>
              </w:rPr>
            </w:pPr>
            <w:r>
              <w:rPr>
                <w:sz w:val="14"/>
                <w:szCs w:val="14"/>
              </w:rPr>
              <w:t xml:space="preserve">If enabling/disabling HARQ feedback is applied per HARQ process, then if within a given scheduling cycle, the </w:t>
            </w:r>
            <w:r w:rsidRPr="00A52328">
              <w:rPr>
                <w:sz w:val="14"/>
                <w:szCs w:val="14"/>
              </w:rPr>
              <w:t>“</w:t>
            </w:r>
            <w:r>
              <w:rPr>
                <w:sz w:val="14"/>
                <w:szCs w:val="14"/>
              </w:rPr>
              <w:t>HARQ feedback</w:t>
            </w:r>
            <w:r w:rsidRPr="00A52328">
              <w:rPr>
                <w:sz w:val="14"/>
                <w:szCs w:val="14"/>
              </w:rPr>
              <w:t>”</w:t>
            </w:r>
            <w:r>
              <w:rPr>
                <w:sz w:val="14"/>
                <w:szCs w:val="14"/>
              </w:rPr>
              <w:t xml:space="preserve"> is enabled for some HARQ processes and disabled for some other HARQ processes, then how to interprete or accomodate the contents of the HARQ-ACK bundling would need to be discussed.</w:t>
            </w:r>
          </w:p>
          <w:p w14:paraId="7E94C332" w14:textId="77777777" w:rsidR="00CF20C9" w:rsidRPr="00B3729E" w:rsidRDefault="00CF20C9" w:rsidP="004F2CD0">
            <w:pPr>
              <w:pStyle w:val="Observation"/>
              <w:numPr>
                <w:ilvl w:val="0"/>
                <w:numId w:val="0"/>
              </w:numPr>
              <w:rPr>
                <w:sz w:val="14"/>
                <w:szCs w:val="14"/>
              </w:rPr>
            </w:pPr>
            <w:r>
              <w:rPr>
                <w:sz w:val="14"/>
                <w:szCs w:val="14"/>
              </w:rPr>
              <w:t xml:space="preserve">Moreover, if within a given scheduling cycle, the </w:t>
            </w:r>
            <w:r w:rsidRPr="00A52328">
              <w:rPr>
                <w:sz w:val="14"/>
                <w:szCs w:val="14"/>
              </w:rPr>
              <w:t>“</w:t>
            </w:r>
            <w:r>
              <w:rPr>
                <w:sz w:val="14"/>
                <w:szCs w:val="14"/>
              </w:rPr>
              <w:t>HARQ feedback</w:t>
            </w:r>
            <w:r w:rsidRPr="00A52328">
              <w:rPr>
                <w:sz w:val="14"/>
                <w:szCs w:val="14"/>
              </w:rPr>
              <w:t>”</w:t>
            </w:r>
            <w:r>
              <w:rPr>
                <w:sz w:val="14"/>
                <w:szCs w:val="14"/>
              </w:rPr>
              <w:t xml:space="preserve"> is enabled for some HARQ processes and disabled for some other HARQ processes, then the disabling approach would be somehow overriden since PUCCH would have to be transmitted for those HARQ processes for which HARQ feedback was requested.</w:t>
            </w:r>
          </w:p>
        </w:tc>
      </w:tr>
      <w:tr w:rsidR="00CF20C9" w14:paraId="3684E78F" w14:textId="77777777" w:rsidTr="00AD25EE">
        <w:tc>
          <w:tcPr>
            <w:tcW w:w="4814" w:type="dxa"/>
          </w:tcPr>
          <w:p w14:paraId="320A319E" w14:textId="77777777" w:rsidR="00CF20C9" w:rsidRPr="00B3729E" w:rsidRDefault="00CF20C9" w:rsidP="004F2CD0">
            <w:pPr>
              <w:pStyle w:val="Observation"/>
              <w:numPr>
                <w:ilvl w:val="0"/>
                <w:numId w:val="0"/>
              </w:numPr>
              <w:rPr>
                <w:sz w:val="14"/>
                <w:szCs w:val="14"/>
              </w:rPr>
            </w:pPr>
            <w:r w:rsidRPr="00B3729E">
              <w:rPr>
                <w:sz w:val="14"/>
                <w:szCs w:val="14"/>
              </w:rPr>
              <w:t>Issue F: NPRACH capacity</w:t>
            </w:r>
          </w:p>
        </w:tc>
        <w:tc>
          <w:tcPr>
            <w:tcW w:w="4815" w:type="dxa"/>
          </w:tcPr>
          <w:p w14:paraId="4C1E4DDE" w14:textId="77777777" w:rsidR="00CF20C9" w:rsidRDefault="00CF20C9" w:rsidP="004F2CD0">
            <w:pPr>
              <w:pStyle w:val="Observation"/>
              <w:numPr>
                <w:ilvl w:val="0"/>
                <w:numId w:val="0"/>
              </w:numPr>
              <w:rPr>
                <w:sz w:val="14"/>
                <w:szCs w:val="14"/>
              </w:rPr>
            </w:pPr>
            <w:r>
              <w:rPr>
                <w:sz w:val="14"/>
                <w:szCs w:val="14"/>
              </w:rPr>
              <w:t>This issue has to do with the fact that is possible to transmit a Scheduling Request (SR) on PUCCH.</w:t>
            </w:r>
          </w:p>
          <w:p w14:paraId="419E24D3" w14:textId="77777777" w:rsidR="00CF20C9" w:rsidRDefault="00CF20C9" w:rsidP="004F2CD0">
            <w:pPr>
              <w:pStyle w:val="Observation"/>
              <w:numPr>
                <w:ilvl w:val="0"/>
                <w:numId w:val="0"/>
              </w:numPr>
              <w:rPr>
                <w:sz w:val="14"/>
                <w:szCs w:val="14"/>
              </w:rPr>
            </w:pPr>
            <w:r>
              <w:rPr>
                <w:sz w:val="14"/>
                <w:szCs w:val="14"/>
              </w:rPr>
              <w:t>The problem is that with the HARQ feedback disabled, there won’t be any UL transmission to ACK/NACK the received data, hence it won’t be possible to transmit SR on PUCCH any longer.</w:t>
            </w:r>
          </w:p>
          <w:p w14:paraId="6AF7910F" w14:textId="77777777" w:rsidR="00CF20C9" w:rsidRPr="00B3729E" w:rsidRDefault="00CF20C9" w:rsidP="004F2CD0">
            <w:pPr>
              <w:pStyle w:val="Observation"/>
              <w:numPr>
                <w:ilvl w:val="0"/>
                <w:numId w:val="0"/>
              </w:numPr>
              <w:rPr>
                <w:sz w:val="14"/>
                <w:szCs w:val="14"/>
              </w:rPr>
            </w:pPr>
            <w:r>
              <w:rPr>
                <w:sz w:val="14"/>
                <w:szCs w:val="14"/>
              </w:rPr>
              <w:t>For not having to perform any major specification impact, in our opinion the possibility of enabling/disabling HARQ feedback can help to alleviate this issue. For example, in scenarios where the disabling approach is used, from time to time the eNodeB can enable the HARQ feedback as to create the opportunity for the UE to incorporate a SR as part of the ACK/NACK response.</w:t>
            </w:r>
          </w:p>
        </w:tc>
      </w:tr>
      <w:tr w:rsidR="00CF20C9" w14:paraId="6F03CF25" w14:textId="77777777" w:rsidTr="00AD25EE">
        <w:tc>
          <w:tcPr>
            <w:tcW w:w="4814" w:type="dxa"/>
          </w:tcPr>
          <w:p w14:paraId="23B41D36" w14:textId="77777777" w:rsidR="00CF20C9" w:rsidRPr="00B3729E" w:rsidRDefault="00CF20C9" w:rsidP="004F2CD0">
            <w:pPr>
              <w:pStyle w:val="Observation"/>
              <w:numPr>
                <w:ilvl w:val="0"/>
                <w:numId w:val="0"/>
              </w:numPr>
              <w:rPr>
                <w:sz w:val="14"/>
                <w:szCs w:val="14"/>
              </w:rPr>
            </w:pPr>
            <w:r w:rsidRPr="00B3729E">
              <w:rPr>
                <w:sz w:val="14"/>
                <w:szCs w:val="14"/>
              </w:rPr>
              <w:t>Issue G: Serving cell/satellite change during data transfer (FFS: for eMTC and/or NB-IoT)</w:t>
            </w:r>
          </w:p>
        </w:tc>
        <w:tc>
          <w:tcPr>
            <w:tcW w:w="4815" w:type="dxa"/>
          </w:tcPr>
          <w:p w14:paraId="4FD1664D" w14:textId="77777777" w:rsidR="00CF20C9" w:rsidRDefault="00CF20C9" w:rsidP="004F2CD0">
            <w:pPr>
              <w:pStyle w:val="Observation"/>
              <w:numPr>
                <w:ilvl w:val="0"/>
                <w:numId w:val="0"/>
              </w:numPr>
              <w:rPr>
                <w:sz w:val="14"/>
                <w:szCs w:val="14"/>
              </w:rPr>
            </w:pPr>
            <w:r>
              <w:rPr>
                <w:sz w:val="14"/>
                <w:szCs w:val="14"/>
              </w:rPr>
              <w:t>This is foreseen to be more problematic when the HARQ feedback has been disabled, since with no feedback the eNodeB won’t be able to perform adjustments on time, which may result in a radio-link failure.</w:t>
            </w:r>
          </w:p>
          <w:p w14:paraId="2F4E6EF7" w14:textId="77777777" w:rsidR="00CF20C9" w:rsidRPr="00B3729E" w:rsidRDefault="00CF20C9" w:rsidP="004F2CD0">
            <w:pPr>
              <w:pStyle w:val="Observation"/>
              <w:numPr>
                <w:ilvl w:val="0"/>
                <w:numId w:val="0"/>
              </w:numPr>
              <w:rPr>
                <w:sz w:val="14"/>
                <w:szCs w:val="14"/>
              </w:rPr>
            </w:pPr>
            <w:r>
              <w:rPr>
                <w:sz w:val="14"/>
                <w:szCs w:val="14"/>
              </w:rPr>
              <w:t>On the other hand, if the HARQ feedback is enabled then the received feedback may be used by the eNodeB to perform adjustments which will reduce the chances of ending-up in a radio-link failure.</w:t>
            </w:r>
          </w:p>
        </w:tc>
      </w:tr>
      <w:tr w:rsidR="00CF20C9" w14:paraId="754CD15C" w14:textId="77777777" w:rsidTr="00AD25EE">
        <w:tc>
          <w:tcPr>
            <w:tcW w:w="4814" w:type="dxa"/>
          </w:tcPr>
          <w:p w14:paraId="002EC158" w14:textId="77777777" w:rsidR="00CF20C9" w:rsidRPr="00B3729E" w:rsidRDefault="00CF20C9" w:rsidP="004F2CD0">
            <w:pPr>
              <w:pStyle w:val="Observation"/>
              <w:numPr>
                <w:ilvl w:val="0"/>
                <w:numId w:val="0"/>
              </w:numPr>
              <w:rPr>
                <w:sz w:val="14"/>
                <w:szCs w:val="14"/>
              </w:rPr>
            </w:pPr>
            <w:r w:rsidRPr="00B3729E">
              <w:rPr>
                <w:sz w:val="14"/>
                <w:szCs w:val="14"/>
              </w:rPr>
              <w:t>Other issues are not excluded</w:t>
            </w:r>
          </w:p>
        </w:tc>
        <w:tc>
          <w:tcPr>
            <w:tcW w:w="4815" w:type="dxa"/>
          </w:tcPr>
          <w:p w14:paraId="1CBC0D09" w14:textId="77777777" w:rsidR="00CF20C9" w:rsidRPr="00B3729E" w:rsidRDefault="00CF20C9" w:rsidP="004F2CD0">
            <w:pPr>
              <w:pStyle w:val="Observation"/>
              <w:numPr>
                <w:ilvl w:val="0"/>
                <w:numId w:val="0"/>
              </w:numPr>
              <w:rPr>
                <w:sz w:val="14"/>
                <w:szCs w:val="14"/>
              </w:rPr>
            </w:pPr>
            <w:r>
              <w:rPr>
                <w:sz w:val="14"/>
                <w:szCs w:val="14"/>
              </w:rPr>
              <w:t>N/A</w:t>
            </w:r>
          </w:p>
        </w:tc>
      </w:tr>
    </w:tbl>
    <w:p w14:paraId="511C3766" w14:textId="77777777" w:rsidR="00CF20C9" w:rsidRPr="00CF20C9" w:rsidRDefault="00CF20C9" w:rsidP="004F2CD0">
      <w:pPr>
        <w:jc w:val="both"/>
        <w:rPr>
          <w:lang w:eastAsia="zh-CN"/>
        </w:rPr>
      </w:pPr>
    </w:p>
    <w:p w14:paraId="08EC6D68" w14:textId="3C92858D" w:rsidR="00CF20C9" w:rsidRDefault="004F2CD0" w:rsidP="004F2CD0">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11112484" w:history="1">
        <w:r w:rsidR="00CF20C9" w:rsidRPr="00721EAB">
          <w:rPr>
            <w:rStyle w:val="Hyperlink"/>
            <w:noProof/>
          </w:rPr>
          <w:t>Observation 10</w:t>
        </w:r>
        <w:r w:rsidR="00CF20C9">
          <w:rPr>
            <w:rFonts w:asciiTheme="minorHAnsi" w:eastAsiaTheme="minorEastAsia" w:hAnsiTheme="minorHAnsi" w:cstheme="minorBidi"/>
            <w:b w:val="0"/>
            <w:noProof/>
            <w:sz w:val="22"/>
            <w:szCs w:val="22"/>
            <w:lang w:val="en-SE" w:eastAsia="en-SE"/>
          </w:rPr>
          <w:tab/>
        </w:r>
        <w:r w:rsidR="00CF20C9" w:rsidRPr="00721EAB">
          <w:rPr>
            <w:rStyle w:val="Hyperlink"/>
            <w:noProof/>
          </w:rPr>
          <w:t>The “</w:t>
        </w:r>
        <w:r w:rsidR="00CF20C9" w:rsidRPr="00721EAB">
          <w:rPr>
            <w:rStyle w:val="Hyperlink"/>
            <w:i/>
            <w:iCs/>
            <w:noProof/>
          </w:rPr>
          <w:t xml:space="preserve">potential issues due to enabling/disabling on HARQ feedback” </w:t>
        </w:r>
        <w:r w:rsidR="00CF20C9" w:rsidRPr="00721EAB">
          <w:rPr>
            <w:rStyle w:val="Hyperlink"/>
            <w:noProof/>
          </w:rPr>
          <w:t>can in principle be analysed from a high-level perspective on whether no transmitting NPUSCH Format 2 will result to be problematic or unfeasible for a given feature, but the complete analysis will depend on the actual candidate solution(s) performing the disabling approach.</w:t>
        </w:r>
      </w:hyperlink>
    </w:p>
    <w:p w14:paraId="712DEA92" w14:textId="1327CA9B" w:rsidR="00CF20C9" w:rsidRDefault="004F2CD0" w:rsidP="004F2CD0">
      <w:pPr>
        <w:pStyle w:val="TableofFigures"/>
        <w:tabs>
          <w:tab w:val="right" w:leader="dot" w:pos="9629"/>
        </w:tabs>
        <w:jc w:val="both"/>
        <w:rPr>
          <w:rStyle w:val="Hyperlink"/>
          <w:noProof/>
        </w:rPr>
      </w:pPr>
      <w:hyperlink w:anchor="_Toc111112485" w:history="1">
        <w:r w:rsidR="00CF20C9" w:rsidRPr="00721EAB">
          <w:rPr>
            <w:rStyle w:val="Hyperlink"/>
            <w:noProof/>
          </w:rPr>
          <w:t>Observation 11</w:t>
        </w:r>
        <w:r w:rsidR="00CF20C9">
          <w:rPr>
            <w:rFonts w:asciiTheme="minorHAnsi" w:eastAsiaTheme="minorEastAsia" w:hAnsiTheme="minorHAnsi" w:cstheme="minorBidi"/>
            <w:b w:val="0"/>
            <w:noProof/>
            <w:sz w:val="22"/>
            <w:szCs w:val="22"/>
            <w:lang w:val="en-SE" w:eastAsia="en-SE"/>
          </w:rPr>
          <w:tab/>
        </w:r>
        <w:r w:rsidR="00CF20C9" w:rsidRPr="00721EAB">
          <w:rPr>
            <w:rStyle w:val="Hyperlink"/>
            <w:noProof/>
          </w:rPr>
          <w:t>From an “NB-IoT over NTN” perspective, our preliminary view on the potential issues listed in the agreement from RAN1# 109-e is as follows:</w:t>
        </w:r>
      </w:hyperlink>
    </w:p>
    <w:tbl>
      <w:tblPr>
        <w:tblStyle w:val="TableGrid"/>
        <w:tblW w:w="0" w:type="auto"/>
        <w:tblInd w:w="1701" w:type="dxa"/>
        <w:tblLook w:val="04A0" w:firstRow="1" w:lastRow="0" w:firstColumn="1" w:lastColumn="0" w:noHBand="0" w:noVBand="1"/>
      </w:tblPr>
      <w:tblGrid>
        <w:gridCol w:w="3988"/>
        <w:gridCol w:w="3940"/>
      </w:tblGrid>
      <w:tr w:rsidR="00CF20C9" w14:paraId="3D4A41E7" w14:textId="77777777" w:rsidTr="00AD25EE">
        <w:tc>
          <w:tcPr>
            <w:tcW w:w="4814" w:type="dxa"/>
          </w:tcPr>
          <w:p w14:paraId="6E832FA5" w14:textId="77777777" w:rsidR="00CF20C9" w:rsidRPr="00B3729E" w:rsidRDefault="00CF20C9" w:rsidP="004F2CD0">
            <w:pPr>
              <w:pStyle w:val="Observation"/>
              <w:numPr>
                <w:ilvl w:val="0"/>
                <w:numId w:val="0"/>
              </w:numPr>
              <w:rPr>
                <w:sz w:val="14"/>
                <w:szCs w:val="14"/>
              </w:rPr>
            </w:pPr>
            <w:r w:rsidRPr="00B3729E">
              <w:rPr>
                <w:sz w:val="14"/>
                <w:szCs w:val="14"/>
              </w:rPr>
              <w:t>Listed issue as per RAN1# 109-e</w:t>
            </w:r>
          </w:p>
        </w:tc>
        <w:tc>
          <w:tcPr>
            <w:tcW w:w="4815" w:type="dxa"/>
          </w:tcPr>
          <w:p w14:paraId="39C7B3D2" w14:textId="77777777" w:rsidR="00CF20C9" w:rsidRPr="00B3729E" w:rsidRDefault="00CF20C9" w:rsidP="004F2CD0">
            <w:pPr>
              <w:pStyle w:val="Observation"/>
              <w:numPr>
                <w:ilvl w:val="0"/>
                <w:numId w:val="0"/>
              </w:numPr>
              <w:rPr>
                <w:sz w:val="14"/>
                <w:szCs w:val="14"/>
              </w:rPr>
            </w:pPr>
            <w:r w:rsidRPr="00B3729E">
              <w:rPr>
                <w:sz w:val="14"/>
                <w:szCs w:val="14"/>
              </w:rPr>
              <w:t>Preliminary view</w:t>
            </w:r>
          </w:p>
        </w:tc>
      </w:tr>
      <w:tr w:rsidR="00CF20C9" w14:paraId="220CA264" w14:textId="77777777" w:rsidTr="00AD25EE">
        <w:tc>
          <w:tcPr>
            <w:tcW w:w="4814" w:type="dxa"/>
          </w:tcPr>
          <w:p w14:paraId="64CF00C0" w14:textId="77777777" w:rsidR="00CF20C9" w:rsidRPr="00B3729E" w:rsidRDefault="00CF20C9" w:rsidP="004F2CD0">
            <w:pPr>
              <w:pStyle w:val="Observation"/>
              <w:numPr>
                <w:ilvl w:val="0"/>
                <w:numId w:val="0"/>
              </w:numPr>
              <w:rPr>
                <w:sz w:val="14"/>
                <w:szCs w:val="14"/>
              </w:rPr>
            </w:pPr>
            <w:r w:rsidRPr="00B3729E">
              <w:rPr>
                <w:sz w:val="14"/>
                <w:szCs w:val="14"/>
              </w:rPr>
              <w:t>Issue A: SPS PDSCH</w:t>
            </w:r>
          </w:p>
        </w:tc>
        <w:tc>
          <w:tcPr>
            <w:tcW w:w="4815" w:type="dxa"/>
          </w:tcPr>
          <w:p w14:paraId="745CAAAD" w14:textId="77777777" w:rsidR="00CF20C9" w:rsidRPr="00B3729E" w:rsidRDefault="00CF20C9" w:rsidP="004F2CD0">
            <w:pPr>
              <w:pStyle w:val="Observation"/>
              <w:numPr>
                <w:ilvl w:val="0"/>
                <w:numId w:val="0"/>
              </w:numPr>
              <w:rPr>
                <w:sz w:val="14"/>
                <w:szCs w:val="14"/>
              </w:rPr>
            </w:pPr>
            <w:r>
              <w:rPr>
                <w:sz w:val="14"/>
                <w:szCs w:val="14"/>
              </w:rPr>
              <w:t xml:space="preserve">The agreement was for studying </w:t>
            </w:r>
            <w:r w:rsidRPr="00B3729E">
              <w:rPr>
                <w:sz w:val="14"/>
                <w:szCs w:val="14"/>
              </w:rPr>
              <w:t>“</w:t>
            </w:r>
            <w:r w:rsidRPr="00123D66">
              <w:rPr>
                <w:i/>
                <w:iCs/>
                <w:sz w:val="14"/>
                <w:szCs w:val="14"/>
              </w:rPr>
              <w:t>potential issues due to enabling/disabling on HARQ feedback for downlink transmission</w:t>
            </w:r>
            <w:r w:rsidRPr="00B3729E">
              <w:rPr>
                <w:sz w:val="14"/>
                <w:szCs w:val="14"/>
              </w:rPr>
              <w:t>”</w:t>
            </w:r>
            <w:r>
              <w:rPr>
                <w:sz w:val="14"/>
                <w:szCs w:val="14"/>
              </w:rPr>
              <w:t>, in NB-IoT SPS is not available for DL scheduling (it is not in DCI Format N1), thus this issue is for LTE-MTC.</w:t>
            </w:r>
          </w:p>
        </w:tc>
      </w:tr>
      <w:tr w:rsidR="00CF20C9" w14:paraId="7C11B05D" w14:textId="77777777" w:rsidTr="00AD25EE">
        <w:tc>
          <w:tcPr>
            <w:tcW w:w="4814" w:type="dxa"/>
          </w:tcPr>
          <w:p w14:paraId="59BE8D66" w14:textId="77777777" w:rsidR="00CF20C9" w:rsidRPr="00B3729E" w:rsidRDefault="00CF20C9" w:rsidP="004F2CD0">
            <w:pPr>
              <w:pStyle w:val="Observation"/>
              <w:numPr>
                <w:ilvl w:val="0"/>
                <w:numId w:val="0"/>
              </w:numPr>
              <w:rPr>
                <w:sz w:val="14"/>
                <w:szCs w:val="14"/>
              </w:rPr>
            </w:pPr>
            <w:r w:rsidRPr="00B3729E">
              <w:rPr>
                <w:sz w:val="14"/>
                <w:szCs w:val="14"/>
              </w:rPr>
              <w:t>Issue B: (N)PDSCH/(N)PDCCH scheduling restriction</w:t>
            </w:r>
          </w:p>
        </w:tc>
        <w:tc>
          <w:tcPr>
            <w:tcW w:w="4815" w:type="dxa"/>
          </w:tcPr>
          <w:p w14:paraId="7E436F4C" w14:textId="77777777" w:rsidR="00CF20C9" w:rsidRPr="00B3729E" w:rsidRDefault="00CF20C9" w:rsidP="004F2CD0">
            <w:pPr>
              <w:pStyle w:val="Observation"/>
              <w:numPr>
                <w:ilvl w:val="0"/>
                <w:numId w:val="0"/>
              </w:numPr>
              <w:rPr>
                <w:sz w:val="14"/>
                <w:szCs w:val="14"/>
              </w:rPr>
            </w:pPr>
            <w:r w:rsidRPr="00B3729E">
              <w:rPr>
                <w:sz w:val="14"/>
                <w:szCs w:val="14"/>
              </w:rPr>
              <w:t>This issue has to do with “legacy processing delays”. Those “legacy processing delays” are an important part of what makes the IoT technologies hav</w:t>
            </w:r>
            <w:r>
              <w:rPr>
                <w:sz w:val="14"/>
                <w:szCs w:val="14"/>
              </w:rPr>
              <w:t>ing</w:t>
            </w:r>
            <w:r w:rsidRPr="00B3729E">
              <w:rPr>
                <w:sz w:val="14"/>
                <w:szCs w:val="14"/>
              </w:rPr>
              <w:t xml:space="preserve"> a low complexity and </w:t>
            </w:r>
            <w:r>
              <w:rPr>
                <w:sz w:val="14"/>
                <w:szCs w:val="14"/>
              </w:rPr>
              <w:t xml:space="preserve">a </w:t>
            </w:r>
            <w:r w:rsidRPr="00B3729E">
              <w:rPr>
                <w:sz w:val="14"/>
                <w:szCs w:val="14"/>
              </w:rPr>
              <w:t>low cost, thus</w:t>
            </w:r>
            <w:r>
              <w:rPr>
                <w:sz w:val="14"/>
                <w:szCs w:val="14"/>
              </w:rPr>
              <w:t xml:space="preserve"> in our view any design to </w:t>
            </w:r>
            <w:r w:rsidRPr="00B3729E">
              <w:rPr>
                <w:sz w:val="14"/>
                <w:szCs w:val="14"/>
              </w:rPr>
              <w:t>“</w:t>
            </w:r>
            <w:r>
              <w:rPr>
                <w:sz w:val="14"/>
                <w:szCs w:val="14"/>
              </w:rPr>
              <w:t>disabling the HARQ feedback</w:t>
            </w:r>
            <w:r w:rsidRPr="00B3729E">
              <w:rPr>
                <w:sz w:val="14"/>
                <w:szCs w:val="14"/>
              </w:rPr>
              <w:t>”</w:t>
            </w:r>
            <w:r>
              <w:rPr>
                <w:sz w:val="14"/>
                <w:szCs w:val="14"/>
              </w:rPr>
              <w:t xml:space="preserve"> should aim to keep the legacy </w:t>
            </w:r>
            <w:r w:rsidRPr="00B3729E">
              <w:rPr>
                <w:sz w:val="14"/>
                <w:szCs w:val="14"/>
              </w:rPr>
              <w:t>“legacy processing delays”</w:t>
            </w:r>
            <w:r>
              <w:rPr>
                <w:sz w:val="14"/>
                <w:szCs w:val="14"/>
              </w:rPr>
              <w:t xml:space="preserve"> unmodified</w:t>
            </w:r>
            <w:r w:rsidRPr="00B3729E">
              <w:rPr>
                <w:sz w:val="14"/>
                <w:szCs w:val="14"/>
              </w:rPr>
              <w:t>.</w:t>
            </w:r>
            <w:r>
              <w:rPr>
                <w:sz w:val="14"/>
                <w:szCs w:val="14"/>
              </w:rPr>
              <w:t xml:space="preserve"> We elaborate more on it in section 5.2.</w:t>
            </w:r>
          </w:p>
        </w:tc>
      </w:tr>
      <w:tr w:rsidR="00CF20C9" w14:paraId="04E29EE0" w14:textId="77777777" w:rsidTr="00AD25EE">
        <w:tc>
          <w:tcPr>
            <w:tcW w:w="4814" w:type="dxa"/>
          </w:tcPr>
          <w:p w14:paraId="4DA7E66E" w14:textId="77777777" w:rsidR="00CF20C9" w:rsidRPr="00B3729E" w:rsidRDefault="00CF20C9" w:rsidP="004F2CD0">
            <w:pPr>
              <w:pStyle w:val="Observation"/>
              <w:numPr>
                <w:ilvl w:val="0"/>
                <w:numId w:val="0"/>
              </w:numPr>
              <w:rPr>
                <w:sz w:val="14"/>
                <w:szCs w:val="14"/>
              </w:rPr>
            </w:pPr>
            <w:r w:rsidRPr="00B3729E">
              <w:rPr>
                <w:sz w:val="14"/>
                <w:szCs w:val="14"/>
              </w:rPr>
              <w:t>Issue C: HARQ feedback for scheduling multiple TB</w:t>
            </w:r>
          </w:p>
        </w:tc>
        <w:tc>
          <w:tcPr>
            <w:tcW w:w="4815" w:type="dxa"/>
          </w:tcPr>
          <w:p w14:paraId="3D3FF389" w14:textId="77777777" w:rsidR="00CF20C9" w:rsidRPr="00C72B37" w:rsidRDefault="00CF20C9" w:rsidP="004F2CD0">
            <w:pPr>
              <w:pStyle w:val="Observation"/>
              <w:numPr>
                <w:ilvl w:val="0"/>
                <w:numId w:val="0"/>
              </w:numPr>
              <w:rPr>
                <w:sz w:val="14"/>
                <w:szCs w:val="14"/>
              </w:rPr>
            </w:pPr>
            <w:r w:rsidRPr="00C72B37">
              <w:rPr>
                <w:sz w:val="14"/>
                <w:szCs w:val="14"/>
              </w:rPr>
              <w:t>Multi-TB grant allows scheduling of up to two transport blocks (TB) with a single DCI for a downlink unicast transmission.</w:t>
            </w:r>
          </w:p>
          <w:p w14:paraId="596EA5FC" w14:textId="77777777" w:rsidR="00CF20C9" w:rsidRPr="00B3729E" w:rsidRDefault="00CF20C9" w:rsidP="004F2CD0">
            <w:pPr>
              <w:pStyle w:val="Observation"/>
              <w:numPr>
                <w:ilvl w:val="0"/>
                <w:numId w:val="0"/>
              </w:numPr>
              <w:rPr>
                <w:sz w:val="14"/>
                <w:szCs w:val="14"/>
              </w:rPr>
            </w:pPr>
            <w:r w:rsidRPr="00C72B37">
              <w:rPr>
                <w:sz w:val="14"/>
                <w:szCs w:val="14"/>
              </w:rPr>
              <w:t xml:space="preserve">In principle, </w:t>
            </w:r>
            <w:r>
              <w:rPr>
                <w:sz w:val="14"/>
                <w:szCs w:val="14"/>
              </w:rPr>
              <w:t>when</w:t>
            </w:r>
            <w:r w:rsidRPr="00C72B37">
              <w:rPr>
                <w:sz w:val="14"/>
                <w:szCs w:val="14"/>
              </w:rPr>
              <w:t xml:space="preserve"> HARQ feedback</w:t>
            </w:r>
            <w:r>
              <w:rPr>
                <w:sz w:val="14"/>
                <w:szCs w:val="14"/>
              </w:rPr>
              <w:t xml:space="preserve"> is disabled, </w:t>
            </w:r>
            <w:r w:rsidRPr="00C72B37">
              <w:rPr>
                <w:sz w:val="14"/>
                <w:szCs w:val="14"/>
              </w:rPr>
              <w:t>no issue is foreseen on Multi-TB grant nor Single-TB grant from not transmitting NPUSCH Format 2</w:t>
            </w:r>
            <w:r>
              <w:rPr>
                <w:sz w:val="14"/>
                <w:szCs w:val="14"/>
              </w:rPr>
              <w:t>, at least</w:t>
            </w:r>
            <w:r w:rsidRPr="00C72B37">
              <w:rPr>
                <w:sz w:val="14"/>
                <w:szCs w:val="14"/>
              </w:rPr>
              <w:t xml:space="preserve"> </w:t>
            </w:r>
            <w:r>
              <w:rPr>
                <w:sz w:val="14"/>
                <w:szCs w:val="14"/>
              </w:rPr>
              <w:t xml:space="preserve">not </w:t>
            </w:r>
            <w:r w:rsidRPr="00C72B37">
              <w:rPr>
                <w:sz w:val="14"/>
                <w:szCs w:val="14"/>
              </w:rPr>
              <w:t>as long as the “legacy processing delays” are kept unmodified.</w:t>
            </w:r>
            <w:r w:rsidRPr="00CF70F8">
              <w:rPr>
                <w:color w:val="ED7D31" w:themeColor="accent2"/>
                <w:sz w:val="14"/>
                <w:szCs w:val="14"/>
              </w:rPr>
              <w:t xml:space="preserve">  </w:t>
            </w:r>
          </w:p>
        </w:tc>
      </w:tr>
      <w:tr w:rsidR="00CF20C9" w14:paraId="43054824" w14:textId="77777777" w:rsidTr="00AD25EE">
        <w:tc>
          <w:tcPr>
            <w:tcW w:w="4814" w:type="dxa"/>
          </w:tcPr>
          <w:p w14:paraId="04F5A130" w14:textId="77777777" w:rsidR="00CF20C9" w:rsidRPr="00B3729E" w:rsidRDefault="00CF20C9" w:rsidP="004F2CD0">
            <w:pPr>
              <w:pStyle w:val="Observation"/>
              <w:numPr>
                <w:ilvl w:val="0"/>
                <w:numId w:val="0"/>
              </w:numPr>
              <w:rPr>
                <w:sz w:val="14"/>
                <w:szCs w:val="14"/>
              </w:rPr>
            </w:pPr>
            <w:r w:rsidRPr="00B3729E">
              <w:rPr>
                <w:sz w:val="14"/>
                <w:szCs w:val="14"/>
              </w:rPr>
              <w:lastRenderedPageBreak/>
              <w:t>Issue D: HARQ bundling for eMTC HD-FDD</w:t>
            </w:r>
          </w:p>
        </w:tc>
        <w:tc>
          <w:tcPr>
            <w:tcW w:w="4815" w:type="dxa"/>
          </w:tcPr>
          <w:p w14:paraId="5E356F8C" w14:textId="77777777" w:rsidR="00CF20C9" w:rsidRPr="00B3729E" w:rsidRDefault="00CF20C9" w:rsidP="004F2CD0">
            <w:pPr>
              <w:pStyle w:val="Observation"/>
              <w:numPr>
                <w:ilvl w:val="0"/>
                <w:numId w:val="0"/>
              </w:numPr>
              <w:rPr>
                <w:sz w:val="14"/>
                <w:szCs w:val="14"/>
              </w:rPr>
            </w:pPr>
            <w:r>
              <w:rPr>
                <w:sz w:val="14"/>
                <w:szCs w:val="14"/>
              </w:rPr>
              <w:t>Issue D is applicable for LTE-MTC only.</w:t>
            </w:r>
          </w:p>
        </w:tc>
      </w:tr>
      <w:tr w:rsidR="00CF20C9" w14:paraId="15EA5436" w14:textId="77777777" w:rsidTr="00AD25EE">
        <w:tc>
          <w:tcPr>
            <w:tcW w:w="4814" w:type="dxa"/>
          </w:tcPr>
          <w:p w14:paraId="3CAD77B4" w14:textId="77777777" w:rsidR="00CF20C9" w:rsidRPr="00B3729E" w:rsidRDefault="00CF20C9" w:rsidP="004F2CD0">
            <w:pPr>
              <w:pStyle w:val="Observation"/>
              <w:numPr>
                <w:ilvl w:val="0"/>
                <w:numId w:val="0"/>
              </w:numPr>
              <w:rPr>
                <w:sz w:val="14"/>
                <w:szCs w:val="14"/>
              </w:rPr>
            </w:pPr>
            <w:r w:rsidRPr="00B3729E">
              <w:rPr>
                <w:sz w:val="14"/>
                <w:szCs w:val="14"/>
              </w:rPr>
              <w:t>Issue F: NPRACH capacity</w:t>
            </w:r>
          </w:p>
        </w:tc>
        <w:tc>
          <w:tcPr>
            <w:tcW w:w="4815" w:type="dxa"/>
          </w:tcPr>
          <w:p w14:paraId="65D5FA12" w14:textId="77777777" w:rsidR="00CF20C9" w:rsidRDefault="00CF20C9" w:rsidP="004F2CD0">
            <w:pPr>
              <w:pStyle w:val="Observation"/>
              <w:numPr>
                <w:ilvl w:val="0"/>
                <w:numId w:val="0"/>
              </w:numPr>
              <w:rPr>
                <w:sz w:val="14"/>
                <w:szCs w:val="14"/>
              </w:rPr>
            </w:pPr>
            <w:r>
              <w:rPr>
                <w:sz w:val="14"/>
                <w:szCs w:val="14"/>
              </w:rPr>
              <w:t>This issue has to do with the fact that is possible to transmit a Scheduling Request (SR) on NPUSCH Format 2.</w:t>
            </w:r>
          </w:p>
          <w:p w14:paraId="5CE781E5" w14:textId="77777777" w:rsidR="00CF20C9" w:rsidRDefault="00CF20C9" w:rsidP="004F2CD0">
            <w:pPr>
              <w:pStyle w:val="Observation"/>
              <w:numPr>
                <w:ilvl w:val="0"/>
                <w:numId w:val="0"/>
              </w:numPr>
              <w:rPr>
                <w:sz w:val="14"/>
                <w:szCs w:val="14"/>
              </w:rPr>
            </w:pPr>
            <w:r>
              <w:rPr>
                <w:sz w:val="14"/>
                <w:szCs w:val="14"/>
              </w:rPr>
              <w:t>The problem is that with the HARQ feedback disabled, there won’t be any UL transmission to ACK/NACK the received data, hence it won’t be possible to transmit SR on NPUSCH Format 2 any longer.</w:t>
            </w:r>
          </w:p>
          <w:p w14:paraId="386F039C" w14:textId="77777777" w:rsidR="00CF20C9" w:rsidRPr="00B3729E" w:rsidRDefault="00CF20C9" w:rsidP="004F2CD0">
            <w:pPr>
              <w:pStyle w:val="Observation"/>
              <w:numPr>
                <w:ilvl w:val="0"/>
                <w:numId w:val="0"/>
              </w:numPr>
              <w:rPr>
                <w:sz w:val="14"/>
                <w:szCs w:val="14"/>
              </w:rPr>
            </w:pPr>
            <w:r>
              <w:rPr>
                <w:sz w:val="14"/>
                <w:szCs w:val="14"/>
              </w:rPr>
              <w:t>For not having to perform any major specification impact, in our opinion the possibility of enabling/disabling HARQ feedback can help to alleviate this issue. For example, in scenarios where the disabling approach is used, from time to time the eNodeB can enable the HARQ feedback as to create the opportunity for the UE to incorporate a SR as part of the ACK/NACK response.</w:t>
            </w:r>
          </w:p>
        </w:tc>
      </w:tr>
      <w:tr w:rsidR="00CF20C9" w14:paraId="73EAD8EE" w14:textId="77777777" w:rsidTr="00AD25EE">
        <w:tc>
          <w:tcPr>
            <w:tcW w:w="4814" w:type="dxa"/>
          </w:tcPr>
          <w:p w14:paraId="59AD5B9B" w14:textId="77777777" w:rsidR="00CF20C9" w:rsidRPr="00B3729E" w:rsidRDefault="00CF20C9" w:rsidP="004F2CD0">
            <w:pPr>
              <w:pStyle w:val="Observation"/>
              <w:numPr>
                <w:ilvl w:val="0"/>
                <w:numId w:val="0"/>
              </w:numPr>
              <w:rPr>
                <w:sz w:val="14"/>
                <w:szCs w:val="14"/>
              </w:rPr>
            </w:pPr>
            <w:r w:rsidRPr="00B3729E">
              <w:rPr>
                <w:sz w:val="14"/>
                <w:szCs w:val="14"/>
              </w:rPr>
              <w:t>Issue G: Serving cell/satellite change during data transfer (FFS: for eMTC and/or NB-IoT)</w:t>
            </w:r>
          </w:p>
        </w:tc>
        <w:tc>
          <w:tcPr>
            <w:tcW w:w="4815" w:type="dxa"/>
          </w:tcPr>
          <w:p w14:paraId="6AA027CA" w14:textId="77777777" w:rsidR="00CF20C9" w:rsidRDefault="00CF20C9" w:rsidP="004F2CD0">
            <w:pPr>
              <w:pStyle w:val="Observation"/>
              <w:numPr>
                <w:ilvl w:val="0"/>
                <w:numId w:val="0"/>
              </w:numPr>
              <w:rPr>
                <w:sz w:val="14"/>
                <w:szCs w:val="14"/>
              </w:rPr>
            </w:pPr>
            <w:r>
              <w:rPr>
                <w:sz w:val="14"/>
                <w:szCs w:val="14"/>
              </w:rPr>
              <w:t>This is foreseen to be more problematic when the HARQ feedback has been disabled, since with no feedback the eNodeB won’t be able to perform adjustments on time, which may result in a radio-link failure.</w:t>
            </w:r>
          </w:p>
          <w:p w14:paraId="1D237276" w14:textId="77777777" w:rsidR="00CF20C9" w:rsidRPr="00B3729E" w:rsidRDefault="00CF20C9" w:rsidP="004F2CD0">
            <w:pPr>
              <w:pStyle w:val="Observation"/>
              <w:numPr>
                <w:ilvl w:val="0"/>
                <w:numId w:val="0"/>
              </w:numPr>
              <w:rPr>
                <w:sz w:val="14"/>
                <w:szCs w:val="14"/>
              </w:rPr>
            </w:pPr>
            <w:r>
              <w:rPr>
                <w:sz w:val="14"/>
                <w:szCs w:val="14"/>
              </w:rPr>
              <w:t>On the other hand, if the HARQ feedback is enabled then the received feedback may be used by the eNodeB to perform adjustments which will reduce the chances of ending-up in a radio-link failure.</w:t>
            </w:r>
          </w:p>
        </w:tc>
      </w:tr>
      <w:tr w:rsidR="00CF20C9" w14:paraId="400A5B20" w14:textId="77777777" w:rsidTr="00AD25EE">
        <w:trPr>
          <w:trHeight w:val="70"/>
        </w:trPr>
        <w:tc>
          <w:tcPr>
            <w:tcW w:w="4814" w:type="dxa"/>
          </w:tcPr>
          <w:p w14:paraId="139107EB" w14:textId="77777777" w:rsidR="00CF20C9" w:rsidRPr="00B3729E" w:rsidRDefault="00CF20C9" w:rsidP="004F2CD0">
            <w:pPr>
              <w:pStyle w:val="Observation"/>
              <w:numPr>
                <w:ilvl w:val="0"/>
                <w:numId w:val="0"/>
              </w:numPr>
              <w:rPr>
                <w:sz w:val="14"/>
                <w:szCs w:val="14"/>
              </w:rPr>
            </w:pPr>
            <w:r w:rsidRPr="00B3729E">
              <w:rPr>
                <w:sz w:val="14"/>
                <w:szCs w:val="14"/>
              </w:rPr>
              <w:t>Other issues are not excluded</w:t>
            </w:r>
          </w:p>
        </w:tc>
        <w:tc>
          <w:tcPr>
            <w:tcW w:w="4815" w:type="dxa"/>
          </w:tcPr>
          <w:p w14:paraId="3DE973C0" w14:textId="77777777" w:rsidR="00CF20C9" w:rsidRPr="00B3729E" w:rsidRDefault="00CF20C9" w:rsidP="004F2CD0">
            <w:pPr>
              <w:pStyle w:val="Observation"/>
              <w:numPr>
                <w:ilvl w:val="0"/>
                <w:numId w:val="0"/>
              </w:numPr>
              <w:rPr>
                <w:sz w:val="14"/>
                <w:szCs w:val="14"/>
              </w:rPr>
            </w:pPr>
            <w:r>
              <w:rPr>
                <w:sz w:val="14"/>
                <w:szCs w:val="14"/>
              </w:rPr>
              <w:t>N/A</w:t>
            </w:r>
          </w:p>
        </w:tc>
      </w:tr>
    </w:tbl>
    <w:p w14:paraId="78945B65" w14:textId="77777777" w:rsidR="00CF20C9" w:rsidRPr="00CF20C9" w:rsidRDefault="00CF20C9" w:rsidP="004F2CD0">
      <w:pPr>
        <w:jc w:val="both"/>
        <w:rPr>
          <w:lang w:eastAsia="zh-CN"/>
        </w:rPr>
      </w:pPr>
    </w:p>
    <w:p w14:paraId="2CDF9DA7" w14:textId="0C55ABBA" w:rsidR="00CF20C9" w:rsidRDefault="004F2CD0" w:rsidP="004F2CD0">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11112506" w:history="1">
        <w:r w:rsidR="00CF20C9" w:rsidRPr="00721EAB">
          <w:rPr>
            <w:rStyle w:val="Hyperlink"/>
            <w:noProof/>
          </w:rPr>
          <w:t>Observation 12</w:t>
        </w:r>
        <w:r w:rsidR="00CF20C9">
          <w:rPr>
            <w:rFonts w:asciiTheme="minorHAnsi" w:eastAsiaTheme="minorEastAsia" w:hAnsiTheme="minorHAnsi" w:cstheme="minorBidi"/>
            <w:b w:val="0"/>
            <w:noProof/>
            <w:sz w:val="22"/>
            <w:szCs w:val="22"/>
            <w:lang w:val="en-SE" w:eastAsia="en-SE"/>
          </w:rPr>
          <w:tab/>
        </w:r>
        <w:r w:rsidR="00CF20C9" w:rsidRPr="00721EAB">
          <w:rPr>
            <w:rStyle w:val="Hyperlink"/>
            <w:noProof/>
          </w:rPr>
          <w:t>To support enabling HARQ feedback for downlink transmissions no additional specification effort than introducing signalling to enable/disable HARQ feedback is needed. This since where applicable, the state-of-art Rel-17 features for LTE-MTC can be used with no further optimization to keep the HARQ feedback enabled without incurring into the so called “HARQ stalling” issue.</w:t>
        </w:r>
      </w:hyperlink>
    </w:p>
    <w:p w14:paraId="19AFE803" w14:textId="034B3A96" w:rsidR="00CF20C9" w:rsidRDefault="004F2CD0" w:rsidP="004F2CD0">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11112507" w:history="1">
        <w:r w:rsidR="00CF20C9" w:rsidRPr="00721EAB">
          <w:rPr>
            <w:rStyle w:val="Hyperlink"/>
            <w:noProof/>
          </w:rPr>
          <w:t>Observation 13</w:t>
        </w:r>
        <w:r w:rsidR="00CF20C9">
          <w:rPr>
            <w:rFonts w:asciiTheme="minorHAnsi" w:eastAsiaTheme="minorEastAsia" w:hAnsiTheme="minorHAnsi" w:cstheme="minorBidi"/>
            <w:b w:val="0"/>
            <w:noProof/>
            <w:sz w:val="22"/>
            <w:szCs w:val="22"/>
            <w:lang w:val="en-SE" w:eastAsia="en-SE"/>
          </w:rPr>
          <w:tab/>
        </w:r>
        <w:r w:rsidR="00CF20C9" w:rsidRPr="00721EAB">
          <w:rPr>
            <w:rStyle w:val="Hyperlink"/>
            <w:noProof/>
          </w:rPr>
          <w:t>For the disabling of HARQ feedback approach, in our understanding the gain mainly comes from avoiding the “propagation delay in the uplink direction” due to not transmitting ACK/NACK via PUCCH, plus the ability to receive the subsequent MPDCCH scheduling data as soon as DL monitoring is allowed.</w:t>
        </w:r>
      </w:hyperlink>
    </w:p>
    <w:p w14:paraId="0C64747D" w14:textId="147BAAED" w:rsidR="00CF20C9" w:rsidRDefault="004F2CD0" w:rsidP="004F2CD0">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11112508" w:history="1">
        <w:r w:rsidR="00CF20C9" w:rsidRPr="00721EAB">
          <w:rPr>
            <w:rStyle w:val="Hyperlink"/>
            <w:noProof/>
          </w:rPr>
          <w:t>Observation 14</w:t>
        </w:r>
        <w:r w:rsidR="00CF20C9">
          <w:rPr>
            <w:rFonts w:asciiTheme="minorHAnsi" w:eastAsiaTheme="minorEastAsia" w:hAnsiTheme="minorHAnsi" w:cstheme="minorBidi"/>
            <w:b w:val="0"/>
            <w:noProof/>
            <w:sz w:val="22"/>
            <w:szCs w:val="22"/>
            <w:lang w:val="en-SE" w:eastAsia="en-SE"/>
          </w:rPr>
          <w:tab/>
        </w:r>
        <w:r w:rsidR="00CF20C9" w:rsidRPr="00721EAB">
          <w:rPr>
            <w:rStyle w:val="Hyperlink"/>
            <w:noProof/>
          </w:rPr>
          <w:t>If for the disabling of HARQ feedback approach PUCCH won’t be transmitted, one key design aspect is the point in time at which DL monitoring will be allowed to start towards receiving the subsequent MPDCCH scheduling data.</w:t>
        </w:r>
      </w:hyperlink>
    </w:p>
    <w:p w14:paraId="04D59823" w14:textId="5F5F208D" w:rsidR="00CF20C9" w:rsidRDefault="004F2CD0" w:rsidP="004F2CD0">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11112509" w:history="1">
        <w:r w:rsidR="00CF20C9" w:rsidRPr="00721EAB">
          <w:rPr>
            <w:rStyle w:val="Hyperlink"/>
            <w:noProof/>
          </w:rPr>
          <w:t>Observation 15</w:t>
        </w:r>
        <w:r w:rsidR="00CF20C9">
          <w:rPr>
            <w:rFonts w:asciiTheme="minorHAnsi" w:eastAsiaTheme="minorEastAsia" w:hAnsiTheme="minorHAnsi" w:cstheme="minorBidi"/>
            <w:b w:val="0"/>
            <w:noProof/>
            <w:sz w:val="22"/>
            <w:szCs w:val="22"/>
            <w:lang w:val="en-SE" w:eastAsia="en-SE"/>
          </w:rPr>
          <w:tab/>
        </w:r>
        <w:r w:rsidR="00CF20C9" w:rsidRPr="00721EAB">
          <w:rPr>
            <w:rStyle w:val="Hyperlink"/>
            <w:noProof/>
          </w:rPr>
          <w:t>In legacy, there is a delay between the “MPDCCH and the scheduled PDSCH”, afterwards there is at least a 3 ms delay between the end of PDSCH and the start of PUCCH which accounts for sufficient PDSCH decoding time at the device (See Annex 1).</w:t>
        </w:r>
      </w:hyperlink>
    </w:p>
    <w:p w14:paraId="113A1716" w14:textId="7EFC3AD7" w:rsidR="00CF20C9" w:rsidRDefault="004F2CD0" w:rsidP="004F2CD0">
      <w:pPr>
        <w:pStyle w:val="TableofFigures"/>
        <w:tabs>
          <w:tab w:val="right" w:leader="dot" w:pos="9629"/>
        </w:tabs>
        <w:ind w:left="2268" w:hanging="567"/>
        <w:jc w:val="both"/>
        <w:rPr>
          <w:rFonts w:asciiTheme="minorHAnsi" w:eastAsiaTheme="minorEastAsia" w:hAnsiTheme="minorHAnsi" w:cstheme="minorBidi"/>
          <w:b w:val="0"/>
          <w:noProof/>
          <w:sz w:val="22"/>
          <w:szCs w:val="22"/>
          <w:lang w:val="en-SE" w:eastAsia="en-SE"/>
        </w:rPr>
      </w:pPr>
      <w:hyperlink w:anchor="_Toc111112510" w:history="1">
        <w:r w:rsidR="00CF20C9" w:rsidRPr="00721EAB">
          <w:rPr>
            <w:rStyle w:val="Hyperlink"/>
            <w:rFonts w:ascii="Symbol" w:hAnsi="Symbol"/>
            <w:noProof/>
          </w:rPr>
          <w:t></w:t>
        </w:r>
        <w:r w:rsidR="00CF20C9">
          <w:rPr>
            <w:rFonts w:asciiTheme="minorHAnsi" w:eastAsiaTheme="minorEastAsia" w:hAnsiTheme="minorHAnsi" w:cstheme="minorBidi"/>
            <w:b w:val="0"/>
            <w:noProof/>
            <w:sz w:val="22"/>
            <w:szCs w:val="22"/>
            <w:lang w:val="en-SE" w:eastAsia="en-SE"/>
          </w:rPr>
          <w:tab/>
        </w:r>
        <w:r w:rsidR="00CF20C9" w:rsidRPr="00721EAB">
          <w:rPr>
            <w:rStyle w:val="Hyperlink"/>
            <w:noProof/>
          </w:rPr>
          <w:t>Preserving the legacy processing delays unmodified is important, and thus when HARQ feedback is disabled, the earliest the DL monitoring should start is precisely the subframe at which PUCCH would be otherwise transmitted.</w:t>
        </w:r>
      </w:hyperlink>
    </w:p>
    <w:p w14:paraId="7C946C73" w14:textId="6388F53C" w:rsidR="00CF20C9" w:rsidRDefault="004F2CD0" w:rsidP="004F2CD0">
      <w:pPr>
        <w:pStyle w:val="TableofFigures"/>
        <w:tabs>
          <w:tab w:val="right" w:leader="dot" w:pos="9629"/>
        </w:tabs>
        <w:ind w:left="2694" w:hanging="426"/>
        <w:jc w:val="both"/>
        <w:rPr>
          <w:rFonts w:asciiTheme="minorHAnsi" w:eastAsiaTheme="minorEastAsia" w:hAnsiTheme="minorHAnsi" w:cstheme="minorBidi"/>
          <w:b w:val="0"/>
          <w:noProof/>
          <w:sz w:val="22"/>
          <w:szCs w:val="22"/>
          <w:lang w:val="en-SE" w:eastAsia="en-SE"/>
        </w:rPr>
      </w:pPr>
      <w:hyperlink w:anchor="_Toc111112511" w:history="1">
        <w:r w:rsidR="00CF20C9" w:rsidRPr="00721EAB">
          <w:rPr>
            <w:rStyle w:val="Hyperlink"/>
            <w:rFonts w:ascii="Courier New" w:hAnsi="Courier New" w:cs="Courier New"/>
            <w:noProof/>
          </w:rPr>
          <w:t>o</w:t>
        </w:r>
        <w:r w:rsidR="00CF20C9">
          <w:rPr>
            <w:rFonts w:asciiTheme="minorHAnsi" w:eastAsiaTheme="minorEastAsia" w:hAnsiTheme="minorHAnsi" w:cstheme="minorBidi"/>
            <w:b w:val="0"/>
            <w:noProof/>
            <w:sz w:val="22"/>
            <w:szCs w:val="22"/>
            <w:lang w:val="en-SE" w:eastAsia="en-SE"/>
          </w:rPr>
          <w:tab/>
        </w:r>
        <w:r w:rsidR="00CF20C9" w:rsidRPr="00721EAB">
          <w:rPr>
            <w:rStyle w:val="Hyperlink"/>
            <w:noProof/>
          </w:rPr>
          <w:t>This allows preserving (for sufficient PDSCH decoding purposes) at least a 3 ms delay between the end of PDSCH and the start of the DL monitoring. Any proposal on shortening this delay will require RAN4 studies.</w:t>
        </w:r>
      </w:hyperlink>
    </w:p>
    <w:p w14:paraId="6511603A" w14:textId="4195324A" w:rsidR="00CF20C9" w:rsidRDefault="004F2CD0" w:rsidP="004F2CD0">
      <w:pPr>
        <w:pStyle w:val="TableofFigures"/>
        <w:tabs>
          <w:tab w:val="right" w:leader="dot" w:pos="9629"/>
        </w:tabs>
        <w:ind w:left="2268" w:hanging="567"/>
        <w:jc w:val="both"/>
        <w:rPr>
          <w:rFonts w:asciiTheme="minorHAnsi" w:eastAsiaTheme="minorEastAsia" w:hAnsiTheme="minorHAnsi" w:cstheme="minorBidi"/>
          <w:b w:val="0"/>
          <w:noProof/>
          <w:sz w:val="22"/>
          <w:szCs w:val="22"/>
          <w:lang w:val="en-SE" w:eastAsia="en-SE"/>
        </w:rPr>
      </w:pPr>
      <w:hyperlink w:anchor="_Toc111112512" w:history="1">
        <w:r w:rsidR="00CF20C9" w:rsidRPr="00721EAB">
          <w:rPr>
            <w:rStyle w:val="Hyperlink"/>
            <w:rFonts w:ascii="Symbol" w:hAnsi="Symbol"/>
            <w:noProof/>
          </w:rPr>
          <w:t></w:t>
        </w:r>
        <w:r w:rsidR="00CF20C9">
          <w:rPr>
            <w:rFonts w:asciiTheme="minorHAnsi" w:eastAsiaTheme="minorEastAsia" w:hAnsiTheme="minorHAnsi" w:cstheme="minorBidi"/>
            <w:b w:val="0"/>
            <w:noProof/>
            <w:sz w:val="22"/>
            <w:szCs w:val="22"/>
            <w:lang w:val="en-SE" w:eastAsia="en-SE"/>
          </w:rPr>
          <w:tab/>
        </w:r>
        <w:r w:rsidR="00CF20C9" w:rsidRPr="00721EAB">
          <w:rPr>
            <w:rStyle w:val="Hyperlink"/>
            <w:noProof/>
          </w:rPr>
          <w:t>Legacy delays are an important part of what makes the IoT technologies have a low complexity and a low cost.</w:t>
        </w:r>
      </w:hyperlink>
    </w:p>
    <w:p w14:paraId="66A57300" w14:textId="702A782A" w:rsidR="00CF20C9" w:rsidRDefault="004F2CD0" w:rsidP="004F2CD0">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11112513" w:history="1">
        <w:r w:rsidR="00CF20C9" w:rsidRPr="00721EAB">
          <w:rPr>
            <w:rStyle w:val="Hyperlink"/>
            <w:noProof/>
          </w:rPr>
          <w:t>Observation 16</w:t>
        </w:r>
        <w:r w:rsidR="00CF20C9">
          <w:rPr>
            <w:rFonts w:asciiTheme="minorHAnsi" w:eastAsiaTheme="minorEastAsia" w:hAnsiTheme="minorHAnsi" w:cstheme="minorBidi"/>
            <w:b w:val="0"/>
            <w:noProof/>
            <w:sz w:val="22"/>
            <w:szCs w:val="22"/>
            <w:lang w:val="en-SE" w:eastAsia="en-SE"/>
          </w:rPr>
          <w:tab/>
        </w:r>
        <w:r w:rsidR="00CF20C9" w:rsidRPr="00721EAB">
          <w:rPr>
            <w:rStyle w:val="Hyperlink"/>
            <w:noProof/>
          </w:rPr>
          <w:t>To support enabling HARQ feedback for downlink transmissions no additional specification effort than introducing signalling to enable/disable HARQ feedback is needed. This since where applicable, the state-of-art Rel-17 features for NB-IoT can be used with no further optimization to keep the HARQ feedback enabled without incurring into the so called “HARQ stalling” issue.</w:t>
        </w:r>
      </w:hyperlink>
    </w:p>
    <w:p w14:paraId="7439B059" w14:textId="40362E94" w:rsidR="00CF20C9" w:rsidRDefault="004F2CD0" w:rsidP="004F2CD0">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11112514" w:history="1">
        <w:r w:rsidR="00CF20C9" w:rsidRPr="00721EAB">
          <w:rPr>
            <w:rStyle w:val="Hyperlink"/>
            <w:noProof/>
          </w:rPr>
          <w:t>Observation 17</w:t>
        </w:r>
        <w:r w:rsidR="00CF20C9">
          <w:rPr>
            <w:rFonts w:asciiTheme="minorHAnsi" w:eastAsiaTheme="minorEastAsia" w:hAnsiTheme="minorHAnsi" w:cstheme="minorBidi"/>
            <w:b w:val="0"/>
            <w:noProof/>
            <w:sz w:val="22"/>
            <w:szCs w:val="22"/>
            <w:lang w:val="en-SE" w:eastAsia="en-SE"/>
          </w:rPr>
          <w:tab/>
        </w:r>
        <w:r w:rsidR="00CF20C9" w:rsidRPr="00721EAB">
          <w:rPr>
            <w:rStyle w:val="Hyperlink"/>
            <w:noProof/>
          </w:rPr>
          <w:t>For the disabling of HARQ feedback approach, in our understanding the gain mainly comes from avoiding the “propagation delay in the uplink direction” due to not transmitting ACK/NACK via NPUSCH Format 2, plus the ability to receive the subsequent NPDCCH scheduling data as soon as DL monitoring is allowed.</w:t>
        </w:r>
      </w:hyperlink>
    </w:p>
    <w:p w14:paraId="642F2F01" w14:textId="68813CCB" w:rsidR="00CF20C9" w:rsidRDefault="004F2CD0" w:rsidP="004F2CD0">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11112515" w:history="1">
        <w:r w:rsidR="00CF20C9" w:rsidRPr="00721EAB">
          <w:rPr>
            <w:rStyle w:val="Hyperlink"/>
            <w:noProof/>
          </w:rPr>
          <w:t>Observation 18</w:t>
        </w:r>
        <w:r w:rsidR="00CF20C9">
          <w:rPr>
            <w:rFonts w:asciiTheme="minorHAnsi" w:eastAsiaTheme="minorEastAsia" w:hAnsiTheme="minorHAnsi" w:cstheme="minorBidi"/>
            <w:b w:val="0"/>
            <w:noProof/>
            <w:sz w:val="22"/>
            <w:szCs w:val="22"/>
            <w:lang w:val="en-SE" w:eastAsia="en-SE"/>
          </w:rPr>
          <w:tab/>
        </w:r>
        <w:r w:rsidR="00CF20C9" w:rsidRPr="00721EAB">
          <w:rPr>
            <w:rStyle w:val="Hyperlink"/>
            <w:noProof/>
          </w:rPr>
          <w:t>If for the disabling of HARQ feedback approach NPUSCH Format 2 won’t be transmitted, one key design aspect is the point in time at which DL monitoring will be allowed to start towards receiving the subsequent NPDCCH scheduling data.</w:t>
        </w:r>
      </w:hyperlink>
    </w:p>
    <w:p w14:paraId="012B3021" w14:textId="260D7D6B" w:rsidR="00CF20C9" w:rsidRDefault="004F2CD0" w:rsidP="004F2CD0">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11112516" w:history="1">
        <w:r w:rsidR="00CF20C9" w:rsidRPr="00721EAB">
          <w:rPr>
            <w:rStyle w:val="Hyperlink"/>
            <w:noProof/>
          </w:rPr>
          <w:t>Observation 19</w:t>
        </w:r>
        <w:r w:rsidR="00CF20C9">
          <w:rPr>
            <w:rFonts w:asciiTheme="minorHAnsi" w:eastAsiaTheme="minorEastAsia" w:hAnsiTheme="minorHAnsi" w:cstheme="minorBidi"/>
            <w:b w:val="0"/>
            <w:noProof/>
            <w:sz w:val="22"/>
            <w:szCs w:val="22"/>
            <w:lang w:val="en-SE" w:eastAsia="en-SE"/>
          </w:rPr>
          <w:tab/>
        </w:r>
        <w:r w:rsidR="00CF20C9" w:rsidRPr="00721EAB">
          <w:rPr>
            <w:rStyle w:val="Hyperlink"/>
            <w:noProof/>
          </w:rPr>
          <w:t>In legacy, there is a delay between the “NPDCCH and the scheduled NPDSCH”, afterwards there is at least a 12 ms delay between the end of NPDSCH and the start of NPUSCH Format 2 which accounts for sufficient NPDSCH decoding time at the device (See Annex 2).</w:t>
        </w:r>
      </w:hyperlink>
    </w:p>
    <w:p w14:paraId="70E211A4" w14:textId="53638135" w:rsidR="00CF20C9" w:rsidRDefault="004F2CD0" w:rsidP="004F2CD0">
      <w:pPr>
        <w:pStyle w:val="TableofFigures"/>
        <w:tabs>
          <w:tab w:val="right" w:leader="dot" w:pos="9629"/>
        </w:tabs>
        <w:ind w:left="2268" w:hanging="567"/>
        <w:jc w:val="both"/>
        <w:rPr>
          <w:rFonts w:asciiTheme="minorHAnsi" w:eastAsiaTheme="minorEastAsia" w:hAnsiTheme="minorHAnsi" w:cstheme="minorBidi"/>
          <w:b w:val="0"/>
          <w:noProof/>
          <w:sz w:val="22"/>
          <w:szCs w:val="22"/>
          <w:lang w:val="en-SE" w:eastAsia="en-SE"/>
        </w:rPr>
      </w:pPr>
      <w:hyperlink w:anchor="_Toc111112517" w:history="1">
        <w:r w:rsidR="00CF20C9" w:rsidRPr="00721EAB">
          <w:rPr>
            <w:rStyle w:val="Hyperlink"/>
            <w:rFonts w:ascii="Symbol" w:hAnsi="Symbol"/>
            <w:noProof/>
          </w:rPr>
          <w:t></w:t>
        </w:r>
        <w:r w:rsidR="00CF20C9">
          <w:rPr>
            <w:rFonts w:asciiTheme="minorHAnsi" w:eastAsiaTheme="minorEastAsia" w:hAnsiTheme="minorHAnsi" w:cstheme="minorBidi"/>
            <w:b w:val="0"/>
            <w:noProof/>
            <w:sz w:val="22"/>
            <w:szCs w:val="22"/>
            <w:lang w:val="en-SE" w:eastAsia="en-SE"/>
          </w:rPr>
          <w:tab/>
        </w:r>
        <w:r w:rsidR="00CF20C9" w:rsidRPr="00721EAB">
          <w:rPr>
            <w:rStyle w:val="Hyperlink"/>
            <w:noProof/>
          </w:rPr>
          <w:t>Preserving the legacy processing delays unmodified is important, and thus when HARQ feedback is disabled, the earliest the DL monitoring should start is precisely the subframe at which NPUSCH Format 2 would be otherwise transmitted.</w:t>
        </w:r>
      </w:hyperlink>
    </w:p>
    <w:p w14:paraId="2BCBAE80" w14:textId="376AE364" w:rsidR="00CF20C9" w:rsidRDefault="004F2CD0" w:rsidP="004F2CD0">
      <w:pPr>
        <w:pStyle w:val="TableofFigures"/>
        <w:tabs>
          <w:tab w:val="right" w:leader="dot" w:pos="9629"/>
        </w:tabs>
        <w:ind w:left="2552" w:hanging="284"/>
        <w:jc w:val="both"/>
        <w:rPr>
          <w:rFonts w:asciiTheme="minorHAnsi" w:eastAsiaTheme="minorEastAsia" w:hAnsiTheme="minorHAnsi" w:cstheme="minorBidi"/>
          <w:b w:val="0"/>
          <w:noProof/>
          <w:sz w:val="22"/>
          <w:szCs w:val="22"/>
          <w:lang w:val="en-SE" w:eastAsia="en-SE"/>
        </w:rPr>
      </w:pPr>
      <w:hyperlink w:anchor="_Toc111112518" w:history="1">
        <w:r w:rsidR="00CF20C9" w:rsidRPr="00721EAB">
          <w:rPr>
            <w:rStyle w:val="Hyperlink"/>
            <w:rFonts w:ascii="Courier New" w:hAnsi="Courier New" w:cs="Courier New"/>
            <w:noProof/>
          </w:rPr>
          <w:t>o</w:t>
        </w:r>
        <w:r w:rsidR="00CF20C9">
          <w:rPr>
            <w:rFonts w:asciiTheme="minorHAnsi" w:eastAsiaTheme="minorEastAsia" w:hAnsiTheme="minorHAnsi" w:cstheme="minorBidi"/>
            <w:b w:val="0"/>
            <w:noProof/>
            <w:sz w:val="22"/>
            <w:szCs w:val="22"/>
            <w:lang w:val="en-SE" w:eastAsia="en-SE"/>
          </w:rPr>
          <w:tab/>
        </w:r>
        <w:r w:rsidR="00CF20C9" w:rsidRPr="00721EAB">
          <w:rPr>
            <w:rStyle w:val="Hyperlink"/>
            <w:noProof/>
          </w:rPr>
          <w:t>This allows preserving (for sufficient NPDSCH decoding purposes) at least a 12 ms delay between the end of NPDSCH and the start of the DL monitoring. Any proposal on shortening this delay will require RAN4 studies.</w:t>
        </w:r>
      </w:hyperlink>
    </w:p>
    <w:p w14:paraId="3FF2357F" w14:textId="5CBF9B97" w:rsidR="00CF20C9" w:rsidRDefault="004F2CD0" w:rsidP="004F2CD0">
      <w:pPr>
        <w:pStyle w:val="TableofFigures"/>
        <w:tabs>
          <w:tab w:val="right" w:leader="dot" w:pos="9629"/>
        </w:tabs>
        <w:ind w:left="2268" w:hanging="567"/>
        <w:jc w:val="both"/>
        <w:rPr>
          <w:rFonts w:asciiTheme="minorHAnsi" w:eastAsiaTheme="minorEastAsia" w:hAnsiTheme="minorHAnsi" w:cstheme="minorBidi"/>
          <w:b w:val="0"/>
          <w:noProof/>
          <w:sz w:val="22"/>
          <w:szCs w:val="22"/>
          <w:lang w:val="en-SE" w:eastAsia="en-SE"/>
        </w:rPr>
      </w:pPr>
      <w:hyperlink w:anchor="_Toc111112519" w:history="1">
        <w:r w:rsidR="00CF20C9" w:rsidRPr="00721EAB">
          <w:rPr>
            <w:rStyle w:val="Hyperlink"/>
            <w:rFonts w:ascii="Symbol" w:hAnsi="Symbol"/>
            <w:noProof/>
          </w:rPr>
          <w:t></w:t>
        </w:r>
        <w:r w:rsidR="00CF20C9">
          <w:rPr>
            <w:rFonts w:asciiTheme="minorHAnsi" w:eastAsiaTheme="minorEastAsia" w:hAnsiTheme="minorHAnsi" w:cstheme="minorBidi"/>
            <w:b w:val="0"/>
            <w:noProof/>
            <w:sz w:val="22"/>
            <w:szCs w:val="22"/>
            <w:lang w:val="en-SE" w:eastAsia="en-SE"/>
          </w:rPr>
          <w:tab/>
        </w:r>
        <w:r w:rsidR="00CF20C9" w:rsidRPr="00721EAB">
          <w:rPr>
            <w:rStyle w:val="Hyperlink"/>
            <w:noProof/>
          </w:rPr>
          <w:t>Legacy delays are an important part of what makes the IoT technologies having a low complexity and a low cost.</w:t>
        </w:r>
      </w:hyperlink>
    </w:p>
    <w:p w14:paraId="49FB308A" w14:textId="27EF845F" w:rsidR="00CF20C9" w:rsidRDefault="004F2CD0" w:rsidP="004F2CD0">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11112520" w:history="1">
        <w:r w:rsidR="00CF20C9" w:rsidRPr="00721EAB">
          <w:rPr>
            <w:rStyle w:val="Hyperlink"/>
            <w:noProof/>
          </w:rPr>
          <w:t>Observation 20</w:t>
        </w:r>
        <w:r w:rsidR="00CF20C9">
          <w:rPr>
            <w:rFonts w:asciiTheme="minorHAnsi" w:eastAsiaTheme="minorEastAsia" w:hAnsiTheme="minorHAnsi" w:cstheme="minorBidi"/>
            <w:b w:val="0"/>
            <w:noProof/>
            <w:sz w:val="22"/>
            <w:szCs w:val="22"/>
            <w:lang w:val="en-SE" w:eastAsia="en-SE"/>
          </w:rPr>
          <w:tab/>
        </w:r>
        <w:r w:rsidR="00CF20C9" w:rsidRPr="00721EAB">
          <w:rPr>
            <w:rStyle w:val="Hyperlink"/>
            <w:noProof/>
          </w:rPr>
          <w:t>In general, the approach of disabling HARQ feedback relies on not transmitting PUCCH for LTE-MTC or NPUSCH (Format 2) for NB-IoT, and the ability to receive the subsequent (M/N) PDCCH scheduling data as soon as DL monitoring is allowed. In our view, no optimizations to further increase the data rate should be pursued, since in any case what is needed is to compensate for the loss of reliability. Overall, the disabling approach should be supported with as minimum specification impact as possible.</w:t>
        </w:r>
      </w:hyperlink>
    </w:p>
    <w:p w14:paraId="4481EB16" w14:textId="6E8F1D9E" w:rsidR="00CF20C9" w:rsidRDefault="004F2CD0" w:rsidP="004F2CD0">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11112521" w:history="1">
        <w:r w:rsidR="00CF20C9" w:rsidRPr="00721EAB">
          <w:rPr>
            <w:rStyle w:val="Hyperlink"/>
            <w:noProof/>
          </w:rPr>
          <w:t>Observation 21</w:t>
        </w:r>
        <w:r w:rsidR="00CF20C9">
          <w:rPr>
            <w:rFonts w:asciiTheme="minorHAnsi" w:eastAsiaTheme="minorEastAsia" w:hAnsiTheme="minorHAnsi" w:cstheme="minorBidi"/>
            <w:b w:val="0"/>
            <w:noProof/>
            <w:sz w:val="22"/>
            <w:szCs w:val="22"/>
            <w:lang w:val="en-SE" w:eastAsia="en-SE"/>
          </w:rPr>
          <w:tab/>
        </w:r>
        <w:r w:rsidR="00CF20C9" w:rsidRPr="00721EAB">
          <w:rPr>
            <w:rStyle w:val="Hyperlink"/>
            <w:noProof/>
          </w:rPr>
          <w:t xml:space="preserve">If the approach of disabling of HARQ feedback relies on not transmitting PUCCH for LTE-MTC or NPUSCH (Format 2) for NB-IoT, and the ability to receive the subsequent (M/N) PDCCH scheduling data as soon as DL monitoring is allowed. Then the </w:t>
        </w:r>
        <w:r w:rsidR="00635609">
          <w:rPr>
            <w:rStyle w:val="Hyperlink"/>
            <w:noProof/>
          </w:rPr>
          <w:t xml:space="preserve">disabling </w:t>
        </w:r>
        <w:r w:rsidR="00CF20C9" w:rsidRPr="00721EAB">
          <w:rPr>
            <w:rStyle w:val="Hyperlink"/>
            <w:noProof/>
          </w:rPr>
          <w:t xml:space="preserve">mechanism </w:t>
        </w:r>
        <w:r w:rsidR="00FF70F5" w:rsidRPr="00EF0FD9">
          <w:rPr>
            <w:i/>
            <w:iCs/>
          </w:rPr>
          <w:t>per-se</w:t>
        </w:r>
        <w:r w:rsidR="00FF70F5">
          <w:t xml:space="preserve"> </w:t>
        </w:r>
        <w:r w:rsidR="00FF70F5" w:rsidRPr="00E800A1">
          <w:t>is scenario agnostic</w:t>
        </w:r>
        <w:r w:rsidR="00FF70F5">
          <w:t>, but no its benefits since in some scenarios the reliability provided by the HARQ feedback is necessary</w:t>
        </w:r>
        <w:r w:rsidR="003554AA">
          <w:t>. T</w:t>
        </w:r>
        <w:r w:rsidR="00FF70F5">
          <w:t>hus</w:t>
        </w:r>
        <w:r w:rsidR="00635609">
          <w:t>,</w:t>
        </w:r>
        <w:r w:rsidR="00FF70F5" w:rsidRPr="00E800A1">
          <w:t xml:space="preserve"> it will be up to the network to enabling/disabling HARQ feedback as considered necessary</w:t>
        </w:r>
        <w:r w:rsidR="00CF20C9" w:rsidRPr="00721EAB">
          <w:rPr>
            <w:rStyle w:val="Hyperlink"/>
            <w:noProof/>
          </w:rPr>
          <w:t>.</w:t>
        </w:r>
      </w:hyperlink>
    </w:p>
    <w:p w14:paraId="1595D08F" w14:textId="4724735F" w:rsidR="000C11D5" w:rsidRDefault="000C11D5" w:rsidP="000C11D5">
      <w:pPr>
        <w:pStyle w:val="BodyText"/>
        <w:rPr>
          <w:b/>
          <w:bCs/>
        </w:rPr>
      </w:pPr>
      <w:r>
        <w:rPr>
          <w:b/>
          <w:bCs/>
        </w:rPr>
        <w:fldChar w:fldCharType="end"/>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30EF73DF" w14:textId="35B35F0F" w:rsidR="00CF20C9" w:rsidRDefault="000C11D5" w:rsidP="004F2CD0">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1112522" w:history="1">
        <w:r w:rsidR="00CF20C9" w:rsidRPr="007E2284">
          <w:rPr>
            <w:rStyle w:val="Hyperlink"/>
            <w:noProof/>
          </w:rPr>
          <w:t>Proposal 1</w:t>
        </w:r>
        <w:r w:rsidR="00CF20C9">
          <w:rPr>
            <w:rFonts w:asciiTheme="minorHAnsi" w:eastAsiaTheme="minorEastAsia" w:hAnsiTheme="minorHAnsi" w:cstheme="minorBidi"/>
            <w:b w:val="0"/>
            <w:noProof/>
            <w:sz w:val="22"/>
            <w:szCs w:val="22"/>
            <w:lang w:val="en-SE" w:eastAsia="en-SE"/>
          </w:rPr>
          <w:tab/>
        </w:r>
        <w:r w:rsidR="00CF20C9" w:rsidRPr="007E2284">
          <w:rPr>
            <w:rStyle w:val="Hyperlink"/>
            <w:noProof/>
          </w:rPr>
          <w:t>For “LTE-MTC over NTN” to configure/indicate enabling/disabling on HARQ feedback for downlink transmission, RAN1 down-selects between “Option 1 (i.e., semi-static signalling via RRC)” and “Option 3 (i.e., dynamic signalling via DCI)”, FFS details.</w:t>
        </w:r>
      </w:hyperlink>
    </w:p>
    <w:p w14:paraId="6D3D0987" w14:textId="26596803" w:rsidR="00CF20C9" w:rsidRDefault="004F2CD0" w:rsidP="004F2CD0">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11112523" w:history="1">
        <w:r w:rsidR="00CF20C9" w:rsidRPr="007E2284">
          <w:rPr>
            <w:rStyle w:val="Hyperlink"/>
            <w:noProof/>
          </w:rPr>
          <w:t>Proposal 2</w:t>
        </w:r>
        <w:r w:rsidR="00CF20C9">
          <w:rPr>
            <w:rFonts w:asciiTheme="minorHAnsi" w:eastAsiaTheme="minorEastAsia" w:hAnsiTheme="minorHAnsi" w:cstheme="minorBidi"/>
            <w:b w:val="0"/>
            <w:noProof/>
            <w:sz w:val="22"/>
            <w:szCs w:val="22"/>
            <w:lang w:val="en-SE" w:eastAsia="en-SE"/>
          </w:rPr>
          <w:tab/>
        </w:r>
        <w:r w:rsidR="00CF20C9" w:rsidRPr="007E2284">
          <w:rPr>
            <w:rStyle w:val="Hyperlink"/>
            <w:noProof/>
          </w:rPr>
          <w:t>For “NB-IoT over NTN” to configure/indicate enabling/disabling on HARQ feedback for downlink transmission, RAN1 down-selects between “Option 1 (i.e., semi-static signalling via RRC)” and “Option 3 (i.e., dynamic signalling via DCI)”, FFS details.</w:t>
        </w:r>
      </w:hyperlink>
    </w:p>
    <w:p w14:paraId="59A35FE0" w14:textId="1BCC7CB7" w:rsidR="00CF20C9" w:rsidRDefault="004F2CD0" w:rsidP="004F2CD0">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11112524" w:history="1">
        <w:r w:rsidR="00CF20C9" w:rsidRPr="007E2284">
          <w:rPr>
            <w:rStyle w:val="Hyperlink"/>
            <w:noProof/>
          </w:rPr>
          <w:t>Proposal 3</w:t>
        </w:r>
        <w:r w:rsidR="00CF20C9">
          <w:rPr>
            <w:rFonts w:asciiTheme="minorHAnsi" w:eastAsiaTheme="minorEastAsia" w:hAnsiTheme="minorHAnsi" w:cstheme="minorBidi"/>
            <w:b w:val="0"/>
            <w:noProof/>
            <w:sz w:val="22"/>
            <w:szCs w:val="22"/>
            <w:lang w:val="en-SE" w:eastAsia="en-SE"/>
          </w:rPr>
          <w:tab/>
        </w:r>
        <w:r w:rsidR="00CF20C9" w:rsidRPr="007E2284">
          <w:rPr>
            <w:rStyle w:val="Hyperlink"/>
            <w:noProof/>
          </w:rPr>
          <w:t>The support of disabling HARQ feedback for downlink transmission relies on not transmitting PUCCH and the ability to receive the subsequent MPDCCH scheduling data as soon as DL monitoring is allowed.</w:t>
        </w:r>
      </w:hyperlink>
    </w:p>
    <w:p w14:paraId="6BA1FA80" w14:textId="40A85770" w:rsidR="00CF20C9" w:rsidRDefault="004F2CD0" w:rsidP="004F2CD0">
      <w:pPr>
        <w:pStyle w:val="TableofFigures"/>
        <w:tabs>
          <w:tab w:val="right" w:leader="dot" w:pos="9629"/>
        </w:tabs>
        <w:ind w:left="2127" w:hanging="426"/>
        <w:jc w:val="both"/>
        <w:rPr>
          <w:rFonts w:asciiTheme="minorHAnsi" w:eastAsiaTheme="minorEastAsia" w:hAnsiTheme="minorHAnsi" w:cstheme="minorBidi"/>
          <w:b w:val="0"/>
          <w:noProof/>
          <w:sz w:val="22"/>
          <w:szCs w:val="22"/>
          <w:lang w:val="en-SE" w:eastAsia="en-SE"/>
        </w:rPr>
      </w:pPr>
      <w:hyperlink w:anchor="_Toc111112525" w:history="1">
        <w:r w:rsidR="00CF20C9" w:rsidRPr="007E2284">
          <w:rPr>
            <w:rStyle w:val="Hyperlink"/>
            <w:rFonts w:ascii="Symbol" w:hAnsi="Symbol"/>
            <w:noProof/>
          </w:rPr>
          <w:t></w:t>
        </w:r>
        <w:r w:rsidR="00CF20C9">
          <w:rPr>
            <w:rFonts w:asciiTheme="minorHAnsi" w:eastAsiaTheme="minorEastAsia" w:hAnsiTheme="minorHAnsi" w:cstheme="minorBidi"/>
            <w:b w:val="0"/>
            <w:noProof/>
            <w:sz w:val="22"/>
            <w:szCs w:val="22"/>
            <w:lang w:val="en-SE" w:eastAsia="en-SE"/>
          </w:rPr>
          <w:tab/>
        </w:r>
        <w:r w:rsidR="00CF20C9" w:rsidRPr="007E2284">
          <w:rPr>
            <w:rStyle w:val="Hyperlink"/>
            <w:noProof/>
          </w:rPr>
          <w:t>The earliest the DL monitoring should start is at the subframe at which PUCCH would be otherwise transmitted (i.e., preserving for sufficient PDSCH decoding time, at least a 3 ms delay between the end of PDSCH and the start of the DL monitoring).</w:t>
        </w:r>
      </w:hyperlink>
    </w:p>
    <w:p w14:paraId="4013F071" w14:textId="4FE25B04" w:rsidR="00CF20C9" w:rsidRDefault="004F2CD0" w:rsidP="004F2CD0">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11112526" w:history="1">
        <w:r w:rsidR="00CF20C9" w:rsidRPr="007E2284">
          <w:rPr>
            <w:rStyle w:val="Hyperlink"/>
            <w:noProof/>
          </w:rPr>
          <w:t>Proposal 4</w:t>
        </w:r>
        <w:r w:rsidR="00CF20C9">
          <w:rPr>
            <w:rFonts w:asciiTheme="minorHAnsi" w:eastAsiaTheme="minorEastAsia" w:hAnsiTheme="minorHAnsi" w:cstheme="minorBidi"/>
            <w:b w:val="0"/>
            <w:noProof/>
            <w:sz w:val="22"/>
            <w:szCs w:val="22"/>
            <w:lang w:val="en-SE" w:eastAsia="en-SE"/>
          </w:rPr>
          <w:tab/>
        </w:r>
        <w:r w:rsidR="00CF20C9" w:rsidRPr="007E2284">
          <w:rPr>
            <w:rStyle w:val="Hyperlink"/>
            <w:noProof/>
          </w:rPr>
          <w:t>The support disabling HARQ feedback for downlink transmission relies on not transmitting NPUSCH Format 2 and the ability to receive the subsequent NPDCCH scheduling data as soon as DL monitoring is allowed.</w:t>
        </w:r>
      </w:hyperlink>
    </w:p>
    <w:p w14:paraId="57FC0746" w14:textId="2B370EED" w:rsidR="00CF20C9" w:rsidRDefault="004F2CD0" w:rsidP="004F2CD0">
      <w:pPr>
        <w:pStyle w:val="TableofFigures"/>
        <w:tabs>
          <w:tab w:val="right" w:leader="dot" w:pos="9629"/>
        </w:tabs>
        <w:ind w:left="2127" w:hanging="426"/>
        <w:jc w:val="both"/>
        <w:rPr>
          <w:rFonts w:asciiTheme="minorHAnsi" w:eastAsiaTheme="minorEastAsia" w:hAnsiTheme="minorHAnsi" w:cstheme="minorBidi"/>
          <w:b w:val="0"/>
          <w:noProof/>
          <w:sz w:val="22"/>
          <w:szCs w:val="22"/>
          <w:lang w:val="en-SE" w:eastAsia="en-SE"/>
        </w:rPr>
      </w:pPr>
      <w:hyperlink w:anchor="_Toc111112527" w:history="1">
        <w:r w:rsidR="00CF20C9" w:rsidRPr="007E2284">
          <w:rPr>
            <w:rStyle w:val="Hyperlink"/>
            <w:rFonts w:ascii="Symbol" w:hAnsi="Symbol"/>
            <w:noProof/>
          </w:rPr>
          <w:t></w:t>
        </w:r>
        <w:r w:rsidR="00CF20C9">
          <w:rPr>
            <w:rFonts w:asciiTheme="minorHAnsi" w:eastAsiaTheme="minorEastAsia" w:hAnsiTheme="minorHAnsi" w:cstheme="minorBidi"/>
            <w:b w:val="0"/>
            <w:noProof/>
            <w:sz w:val="22"/>
            <w:szCs w:val="22"/>
            <w:lang w:val="en-SE" w:eastAsia="en-SE"/>
          </w:rPr>
          <w:tab/>
        </w:r>
        <w:r w:rsidR="00CF20C9" w:rsidRPr="007E2284">
          <w:rPr>
            <w:rStyle w:val="Hyperlink"/>
            <w:noProof/>
          </w:rPr>
          <w:t xml:space="preserve">The earliest the DL monitoring should start is at the subframe at which NPUSCH Format 2 would be otherwise transmitted (i.e., preserving for sufficient NPDSCH </w:t>
        </w:r>
        <w:r w:rsidR="00CF20C9" w:rsidRPr="007E2284">
          <w:rPr>
            <w:rStyle w:val="Hyperlink"/>
            <w:noProof/>
          </w:rPr>
          <w:lastRenderedPageBreak/>
          <w:t>decoding time, at least a 12 ms delay between the end of NPDSCH and the start of the DL monitoring).</w:t>
        </w:r>
      </w:hyperlink>
    </w:p>
    <w:p w14:paraId="337FD414" w14:textId="7AAFFBAB" w:rsidR="0052469A" w:rsidRPr="00136A93" w:rsidRDefault="000C11D5" w:rsidP="000C11D5">
      <w:pPr>
        <w:pStyle w:val="BodyText"/>
      </w:pPr>
      <w:r>
        <w:rPr>
          <w:b/>
          <w:bCs/>
          <w:lang w:val="en-US"/>
        </w:rPr>
        <w:fldChar w:fldCharType="end"/>
      </w:r>
    </w:p>
    <w:p w14:paraId="7203AEF7" w14:textId="7E90EAD0" w:rsidR="00F507D1" w:rsidRPr="00CE0424" w:rsidRDefault="00F507D1" w:rsidP="00CE0424">
      <w:pPr>
        <w:pStyle w:val="Heading1"/>
      </w:pPr>
      <w:r w:rsidRPr="00CE0424">
        <w:t>References</w:t>
      </w:r>
    </w:p>
    <w:bookmarkStart w:id="172" w:name="_Ref174151459"/>
    <w:bookmarkStart w:id="173" w:name="_Ref189809556"/>
    <w:bookmarkStart w:id="174" w:name="_Ref525824664"/>
    <w:bookmarkStart w:id="175" w:name="_Hlk4751152"/>
    <w:p w14:paraId="27014B43" w14:textId="73F70044" w:rsidR="00E732B3" w:rsidRDefault="00CF4F41" w:rsidP="00F22BD5">
      <w:pPr>
        <w:pStyle w:val="Reference"/>
      </w:pPr>
      <w:r>
        <w:fldChar w:fldCharType="begin"/>
      </w:r>
      <w:r w:rsidR="00A61F0C">
        <w:instrText>HYPERLINK "http://www.3gpp.org/ftp/TSG_RAN/TSG_RAN/TSGR_95e/Docs/RP-220939.zip"</w:instrText>
      </w:r>
      <w:r>
        <w:fldChar w:fldCharType="separate"/>
      </w:r>
      <w:r w:rsidRPr="00D3494B">
        <w:rPr>
          <w:rStyle w:val="Hyperlink"/>
        </w:rPr>
        <w:t>RP-2</w:t>
      </w:r>
      <w:r w:rsidR="00A61F0C">
        <w:rPr>
          <w:rStyle w:val="Hyperlink"/>
        </w:rPr>
        <w:t>20939</w:t>
      </w:r>
      <w:r>
        <w:fldChar w:fldCharType="end"/>
      </w:r>
      <w:r w:rsidRPr="000227F6">
        <w:t xml:space="preserve">, </w:t>
      </w:r>
      <w:r w:rsidR="004B4854">
        <w:t>“</w:t>
      </w:r>
      <w:r w:rsidR="00A61F0C" w:rsidRPr="00A61F0C">
        <w:t>WID on IoT NTN enhancements</w:t>
      </w:r>
      <w:r w:rsidR="004B4854">
        <w:t>”</w:t>
      </w:r>
      <w:r w:rsidRPr="00106987">
        <w:t>, RAN #</w:t>
      </w:r>
      <w:r w:rsidR="00A61F0C">
        <w:t>95</w:t>
      </w:r>
      <w:r>
        <w:t>e</w:t>
      </w:r>
      <w:r w:rsidRPr="00106987">
        <w:t xml:space="preserve">, </w:t>
      </w:r>
      <w:r>
        <w:t xml:space="preserve">Electronic Meeting, </w:t>
      </w:r>
      <w:r w:rsidR="00A61F0C">
        <w:t>March</w:t>
      </w:r>
      <w:r w:rsidRPr="00875FFA">
        <w:t xml:space="preserve"> </w:t>
      </w:r>
      <w:r w:rsidR="00A61F0C">
        <w:t>17</w:t>
      </w:r>
      <w:r w:rsidRPr="00875FFA">
        <w:rPr>
          <w:vertAlign w:val="superscript"/>
        </w:rPr>
        <w:t>th</w:t>
      </w:r>
      <w:r w:rsidR="004B4854">
        <w:rPr>
          <w:vertAlign w:val="superscript"/>
        </w:rPr>
        <w:t xml:space="preserve"> </w:t>
      </w:r>
      <w:r w:rsidR="004B4854">
        <w:t xml:space="preserve">– </w:t>
      </w:r>
      <w:r w:rsidR="00A61F0C">
        <w:t>2</w:t>
      </w:r>
      <w:r>
        <w:t>3</w:t>
      </w:r>
      <w:r w:rsidRPr="00D3494B">
        <w:rPr>
          <w:vertAlign w:val="superscript"/>
        </w:rPr>
        <w:t>rd</w:t>
      </w:r>
      <w:r w:rsidRPr="00875FFA">
        <w:t>, 20</w:t>
      </w:r>
      <w:r>
        <w:t>2</w:t>
      </w:r>
      <w:r w:rsidR="00A61F0C">
        <w:t>2</w:t>
      </w:r>
      <w:r w:rsidRPr="000227F6">
        <w:t>.</w:t>
      </w:r>
      <w:bookmarkEnd w:id="172"/>
      <w:bookmarkEnd w:id="173"/>
      <w:bookmarkEnd w:id="174"/>
      <w:bookmarkEnd w:id="175"/>
    </w:p>
    <w:p w14:paraId="65D213FB" w14:textId="4EA1F455" w:rsidR="00703CA9" w:rsidRDefault="004F2CD0" w:rsidP="00F22BD5">
      <w:pPr>
        <w:pStyle w:val="Reference"/>
      </w:pPr>
      <w:hyperlink r:id="rId11" w:history="1">
        <w:r w:rsidR="00703CA9" w:rsidRPr="00703CA9">
          <w:rPr>
            <w:rStyle w:val="Hyperlink"/>
          </w:rPr>
          <w:t>R1-2204080</w:t>
        </w:r>
      </w:hyperlink>
      <w:r w:rsidR="00703CA9">
        <w:t>, “</w:t>
      </w:r>
      <w:r w:rsidR="00703CA9" w:rsidRPr="00703CA9">
        <w:t>On disabling HARQ feedback for IoT NTN</w:t>
      </w:r>
      <w:r w:rsidR="00703CA9">
        <w:t>”, RAN1 #109e, Electronic Meeting, May</w:t>
      </w:r>
      <w:r w:rsidR="00703CA9" w:rsidRPr="00875FFA">
        <w:t xml:space="preserve"> </w:t>
      </w:r>
      <w:r w:rsidR="00703CA9">
        <w:t>9</w:t>
      </w:r>
      <w:r w:rsidR="00703CA9" w:rsidRPr="00875FFA">
        <w:rPr>
          <w:vertAlign w:val="superscript"/>
        </w:rPr>
        <w:t>th</w:t>
      </w:r>
      <w:r w:rsidR="00703CA9">
        <w:rPr>
          <w:vertAlign w:val="superscript"/>
        </w:rPr>
        <w:t xml:space="preserve"> </w:t>
      </w:r>
      <w:r w:rsidR="00703CA9">
        <w:t>– 20</w:t>
      </w:r>
      <w:r w:rsidR="00703CA9">
        <w:rPr>
          <w:vertAlign w:val="superscript"/>
        </w:rPr>
        <w:t>th</w:t>
      </w:r>
      <w:r w:rsidR="00703CA9" w:rsidRPr="00875FFA">
        <w:t>, 20</w:t>
      </w:r>
      <w:r w:rsidR="00703CA9">
        <w:t>22.</w:t>
      </w:r>
    </w:p>
    <w:p w14:paraId="3627492E" w14:textId="215CCB15" w:rsidR="00703CA9" w:rsidRDefault="00703CA9" w:rsidP="00F22BD5">
      <w:pPr>
        <w:pStyle w:val="Reference"/>
      </w:pPr>
      <w:r>
        <w:t>Chairman Notes RAN1#109-e 9.12, RAN1 #109e, Electronic Meeting, May</w:t>
      </w:r>
      <w:r w:rsidRPr="00875FFA">
        <w:t xml:space="preserve"> </w:t>
      </w:r>
      <w:r>
        <w:t>9</w:t>
      </w:r>
      <w:r w:rsidRPr="00875FFA">
        <w:rPr>
          <w:vertAlign w:val="superscript"/>
        </w:rPr>
        <w:t>th</w:t>
      </w:r>
      <w:r>
        <w:rPr>
          <w:vertAlign w:val="superscript"/>
        </w:rPr>
        <w:t xml:space="preserve"> </w:t>
      </w:r>
      <w:r>
        <w:t>– 20</w:t>
      </w:r>
      <w:r>
        <w:rPr>
          <w:vertAlign w:val="superscript"/>
        </w:rPr>
        <w:t>th</w:t>
      </w:r>
      <w:r w:rsidRPr="00875FFA">
        <w:t>, 20</w:t>
      </w:r>
      <w:r>
        <w:t>22.</w:t>
      </w:r>
    </w:p>
    <w:p w14:paraId="7FE79973" w14:textId="1C98090F" w:rsidR="00703CA9" w:rsidRDefault="004F2CD0" w:rsidP="00F22BD5">
      <w:pPr>
        <w:pStyle w:val="Reference"/>
      </w:pPr>
      <w:hyperlink r:id="rId12" w:history="1">
        <w:r w:rsidR="00703CA9" w:rsidRPr="005342D9">
          <w:rPr>
            <w:rStyle w:val="Hyperlink"/>
          </w:rPr>
          <w:t>R1-2205473</w:t>
        </w:r>
      </w:hyperlink>
      <w:r w:rsidR="00703CA9">
        <w:t>, “</w:t>
      </w:r>
      <w:r w:rsidR="00703CA9" w:rsidRPr="00703CA9">
        <w:t>Feature lead summary #2 on disabling of HARQ feedback for IoT NTN</w:t>
      </w:r>
      <w:r w:rsidR="00703CA9">
        <w:t>,” Moderator (Lenovo),</w:t>
      </w:r>
      <w:r w:rsidR="00703CA9" w:rsidRPr="00703CA9">
        <w:t xml:space="preserve"> </w:t>
      </w:r>
      <w:r w:rsidR="00703CA9">
        <w:t>RAN1 #109e, Electronic Meeting, May</w:t>
      </w:r>
      <w:r w:rsidR="00703CA9" w:rsidRPr="00875FFA">
        <w:t xml:space="preserve"> </w:t>
      </w:r>
      <w:r w:rsidR="00703CA9">
        <w:t>9</w:t>
      </w:r>
      <w:r w:rsidR="00703CA9" w:rsidRPr="00875FFA">
        <w:rPr>
          <w:vertAlign w:val="superscript"/>
        </w:rPr>
        <w:t>th</w:t>
      </w:r>
      <w:r w:rsidR="00703CA9">
        <w:rPr>
          <w:vertAlign w:val="superscript"/>
        </w:rPr>
        <w:t xml:space="preserve"> </w:t>
      </w:r>
      <w:r w:rsidR="00703CA9">
        <w:t>– 20</w:t>
      </w:r>
      <w:r w:rsidR="00703CA9">
        <w:rPr>
          <w:vertAlign w:val="superscript"/>
        </w:rPr>
        <w:t>th</w:t>
      </w:r>
      <w:r w:rsidR="00703CA9" w:rsidRPr="00875FFA">
        <w:t>, 20</w:t>
      </w:r>
      <w:r w:rsidR="00703CA9">
        <w:t xml:space="preserve">22. </w:t>
      </w:r>
    </w:p>
    <w:p w14:paraId="334FF4F1" w14:textId="5AE9700B" w:rsidR="003A5C83" w:rsidRDefault="003A5C83" w:rsidP="003A5C83">
      <w:pPr>
        <w:pStyle w:val="Heading1"/>
      </w:pPr>
      <w:r>
        <w:t>6</w:t>
      </w:r>
      <w:r>
        <w:tab/>
        <w:t>Annex</w:t>
      </w:r>
      <w:r w:rsidR="0004513A">
        <w:t xml:space="preserve"> 1: LTE-MTC </w:t>
      </w:r>
      <w:r w:rsidR="00FB300A">
        <w:t>legacy processing delays</w:t>
      </w:r>
    </w:p>
    <w:p w14:paraId="084D1579" w14:textId="6CA7C144" w:rsidR="003A5C83" w:rsidRDefault="003A5C83" w:rsidP="003A5C83">
      <w:pPr>
        <w:pStyle w:val="Heading2"/>
      </w:pPr>
      <w:r>
        <w:t>A</w:t>
      </w:r>
      <w:r w:rsidR="001531A8">
        <w:t>1</w:t>
      </w:r>
      <w:r>
        <w:t>.</w:t>
      </w:r>
      <w:r w:rsidR="007E5A61">
        <w:t>1</w:t>
      </w:r>
      <w:r>
        <w:tab/>
      </w:r>
      <w:r w:rsidR="007064A5">
        <w:t xml:space="preserve">LTE-MTC: </w:t>
      </w:r>
      <w:r w:rsidR="007E5A61">
        <w:t xml:space="preserve">Illustration of legacy processing delays using a </w:t>
      </w:r>
      <w:r w:rsidRPr="003A5C83">
        <w:t>LEO satellite at an orbit altitude of 600 km</w:t>
      </w:r>
    </w:p>
    <w:p w14:paraId="0852894B" w14:textId="7DE02902" w:rsidR="004D7CD6" w:rsidRDefault="003A5C83" w:rsidP="003A5C83">
      <w:pPr>
        <w:pStyle w:val="Reference"/>
        <w:numPr>
          <w:ilvl w:val="0"/>
          <w:numId w:val="0"/>
        </w:numPr>
        <w:rPr>
          <w:rFonts w:ascii="Times New Roman" w:hAnsi="Times New Roman"/>
        </w:rPr>
      </w:pPr>
      <w:r>
        <w:rPr>
          <w:rFonts w:ascii="Times New Roman" w:hAnsi="Times New Roman"/>
        </w:rPr>
        <w:t>T</w:t>
      </w:r>
      <w:r w:rsidR="007E5A61" w:rsidRPr="007E5A61">
        <w:rPr>
          <w:rFonts w:ascii="Times New Roman" w:hAnsi="Times New Roman"/>
        </w:rPr>
        <w:t>able A1</w:t>
      </w:r>
      <w:r w:rsidR="00091734">
        <w:rPr>
          <w:rFonts w:ascii="Times New Roman" w:hAnsi="Times New Roman"/>
        </w:rPr>
        <w:t>.1</w:t>
      </w:r>
      <w:r w:rsidR="007E5A61" w:rsidRPr="007E5A61">
        <w:rPr>
          <w:rFonts w:ascii="Times New Roman" w:hAnsi="Times New Roman"/>
        </w:rPr>
        <w:t xml:space="preserve"> </w:t>
      </w:r>
      <w:bookmarkStart w:id="176" w:name="_Hlk104402972"/>
      <w:r w:rsidR="007E5A61" w:rsidRPr="007E5A61">
        <w:rPr>
          <w:rFonts w:ascii="Times New Roman" w:hAnsi="Times New Roman"/>
        </w:rPr>
        <w:t xml:space="preserve">illustrates the </w:t>
      </w:r>
      <w:r w:rsidR="007E5A61">
        <w:rPr>
          <w:rFonts w:ascii="Times New Roman" w:hAnsi="Times New Roman"/>
        </w:rPr>
        <w:t>legacy processing delays of a t</w:t>
      </w:r>
      <w:r w:rsidR="007E5A61" w:rsidRPr="007E5A61">
        <w:rPr>
          <w:rFonts w:ascii="Times New Roman" w:hAnsi="Times New Roman"/>
        </w:rPr>
        <w:t xml:space="preserve">ransmission </w:t>
      </w:r>
      <w:r w:rsidR="007E5A61">
        <w:rPr>
          <w:rFonts w:ascii="Times New Roman" w:hAnsi="Times New Roman"/>
        </w:rPr>
        <w:t>corresponding to</w:t>
      </w:r>
      <w:r w:rsidR="007E5A61" w:rsidRPr="007E5A61">
        <w:rPr>
          <w:rFonts w:ascii="Times New Roman" w:hAnsi="Times New Roman"/>
        </w:rPr>
        <w:t xml:space="preserve"> one HARQ process keeping HARQ feedback enabled for </w:t>
      </w:r>
      <w:r w:rsidR="007E5A61">
        <w:rPr>
          <w:rFonts w:ascii="Times New Roman" w:hAnsi="Times New Roman"/>
        </w:rPr>
        <w:t xml:space="preserve">a </w:t>
      </w:r>
      <w:r w:rsidR="007E5A61" w:rsidRPr="007E5A61">
        <w:rPr>
          <w:rFonts w:ascii="Times New Roman" w:hAnsi="Times New Roman"/>
        </w:rPr>
        <w:t>HD-FDD Cat M1 UE</w:t>
      </w:r>
      <w:bookmarkEnd w:id="176"/>
      <w:r w:rsidR="007E5A61">
        <w:rPr>
          <w:rFonts w:ascii="Times New Roman" w:hAnsi="Times New Roman"/>
        </w:rPr>
        <w:t>.</w:t>
      </w:r>
    </w:p>
    <w:p w14:paraId="2B914EBB" w14:textId="4FDAA881" w:rsidR="007E5A61" w:rsidRPr="007E5A61" w:rsidRDefault="007E5A61" w:rsidP="007E5A61">
      <w:pPr>
        <w:pStyle w:val="BodyText"/>
        <w:jc w:val="center"/>
        <w:rPr>
          <w:rFonts w:ascii="Times New Roman" w:hAnsi="Times New Roman"/>
          <w:sz w:val="16"/>
          <w:szCs w:val="16"/>
          <w:lang w:eastAsia="ja-JP"/>
        </w:rPr>
      </w:pPr>
      <w:r w:rsidRPr="00A87D48">
        <w:rPr>
          <w:rFonts w:ascii="Times New Roman" w:hAnsi="Times New Roman"/>
          <w:sz w:val="16"/>
          <w:szCs w:val="16"/>
          <w:lang w:eastAsia="ja-JP"/>
        </w:rPr>
        <w:t xml:space="preserve">Table </w:t>
      </w:r>
      <w:r>
        <w:rPr>
          <w:rFonts w:ascii="Times New Roman" w:hAnsi="Times New Roman"/>
          <w:sz w:val="16"/>
          <w:szCs w:val="16"/>
          <w:lang w:eastAsia="ja-JP"/>
        </w:rPr>
        <w:t>A</w:t>
      </w:r>
      <w:r w:rsidRPr="00A87D48">
        <w:rPr>
          <w:rFonts w:ascii="Times New Roman" w:hAnsi="Times New Roman"/>
          <w:sz w:val="16"/>
          <w:szCs w:val="16"/>
          <w:lang w:eastAsia="ja-JP"/>
        </w:rPr>
        <w:t>1</w:t>
      </w:r>
      <w:r w:rsidR="00091734">
        <w:rPr>
          <w:rFonts w:ascii="Times New Roman" w:hAnsi="Times New Roman"/>
          <w:sz w:val="16"/>
          <w:szCs w:val="16"/>
          <w:lang w:eastAsia="ja-JP"/>
        </w:rPr>
        <w:t>.1</w:t>
      </w:r>
      <w:r w:rsidRPr="00A87D48">
        <w:rPr>
          <w:rFonts w:ascii="Times New Roman" w:hAnsi="Times New Roman"/>
          <w:sz w:val="16"/>
          <w:szCs w:val="16"/>
          <w:lang w:eastAsia="ja-JP"/>
        </w:rPr>
        <w:t xml:space="preserve">: </w:t>
      </w:r>
      <w:r>
        <w:rPr>
          <w:rFonts w:ascii="Times New Roman" w:hAnsi="Times New Roman"/>
          <w:sz w:val="16"/>
          <w:szCs w:val="16"/>
          <w:lang w:eastAsia="ja-JP"/>
        </w:rPr>
        <w:t>Transmission of one HARQ process keeping</w:t>
      </w:r>
      <w:r w:rsidRPr="00A87D48">
        <w:rPr>
          <w:rFonts w:ascii="Times New Roman" w:hAnsi="Times New Roman"/>
          <w:sz w:val="16"/>
          <w:szCs w:val="16"/>
          <w:lang w:eastAsia="ja-JP"/>
        </w:rPr>
        <w:t xml:space="preserve"> </w:t>
      </w:r>
      <w:r>
        <w:rPr>
          <w:rFonts w:ascii="Times New Roman" w:hAnsi="Times New Roman"/>
          <w:sz w:val="16"/>
          <w:szCs w:val="16"/>
          <w:lang w:eastAsia="ja-JP"/>
        </w:rPr>
        <w:t xml:space="preserve">HARQ feedback enabled </w:t>
      </w:r>
      <w:r w:rsidRPr="00A87D48">
        <w:rPr>
          <w:rFonts w:ascii="Times New Roman" w:hAnsi="Times New Roman"/>
          <w:sz w:val="16"/>
          <w:szCs w:val="16"/>
          <w:lang w:eastAsia="ja-JP"/>
        </w:rPr>
        <w:t>for a Cat-M1 HD-FDD UE.</w:t>
      </w:r>
    </w:p>
    <w:tbl>
      <w:tblPr>
        <w:tblpPr w:leftFromText="180" w:rightFromText="180" w:vertAnchor="text" w:tblpY="1"/>
        <w:tblOverlap w:val="never"/>
        <w:tblW w:w="8779" w:type="dxa"/>
        <w:tblLayout w:type="fixed"/>
        <w:tblCellMar>
          <w:left w:w="0" w:type="dxa"/>
          <w:right w:w="0" w:type="dxa"/>
        </w:tblCellMar>
        <w:tblLook w:val="04A0" w:firstRow="1" w:lastRow="0" w:firstColumn="1" w:lastColumn="0" w:noHBand="0" w:noVBand="1"/>
      </w:tblPr>
      <w:tblGrid>
        <w:gridCol w:w="1243"/>
        <w:gridCol w:w="1236"/>
        <w:gridCol w:w="430"/>
        <w:gridCol w:w="449"/>
        <w:gridCol w:w="437"/>
        <w:gridCol w:w="447"/>
        <w:gridCol w:w="425"/>
        <w:gridCol w:w="426"/>
        <w:gridCol w:w="426"/>
        <w:gridCol w:w="1275"/>
        <w:gridCol w:w="1560"/>
        <w:gridCol w:w="425"/>
      </w:tblGrid>
      <w:tr w:rsidR="00752D0B" w:rsidRPr="0047424F" w14:paraId="5A1D1A3E" w14:textId="77777777" w:rsidTr="00752D0B">
        <w:trPr>
          <w:trHeight w:val="168"/>
        </w:trPr>
        <w:tc>
          <w:tcPr>
            <w:tcW w:w="247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6D5DB9" w14:textId="77777777" w:rsidR="00752D0B" w:rsidRPr="0047424F" w:rsidRDefault="00752D0B" w:rsidP="004D7CD6">
            <w:pPr>
              <w:rPr>
                <w:rFonts w:ascii="Calibri" w:eastAsia="Calibri" w:hAnsi="Calibri" w:cs="Calibri"/>
                <w:sz w:val="12"/>
                <w:szCs w:val="12"/>
                <w:lang w:val="sv-SE"/>
              </w:rPr>
            </w:pPr>
            <w:r w:rsidRPr="0047424F">
              <w:rPr>
                <w:rFonts w:ascii="Calibri" w:eastAsia="Calibri" w:hAnsi="Calibri" w:cs="Calibri"/>
                <w:sz w:val="12"/>
                <w:szCs w:val="12"/>
                <w:lang w:val="sv-SE"/>
              </w:rPr>
              <w:t>Subrame#</w:t>
            </w:r>
          </w:p>
        </w:tc>
        <w:tc>
          <w:tcPr>
            <w:tcW w:w="4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B13DA0" w14:textId="77777777" w:rsidR="00752D0B" w:rsidRPr="0047424F" w:rsidRDefault="00752D0B" w:rsidP="00752D0B">
            <w:pPr>
              <w:jc w:val="center"/>
              <w:rPr>
                <w:rFonts w:ascii="Calibri" w:eastAsia="Calibri" w:hAnsi="Calibri" w:cs="Calibri"/>
                <w:sz w:val="12"/>
                <w:szCs w:val="12"/>
                <w:lang w:val="sv-SE"/>
              </w:rPr>
            </w:pPr>
            <w:r w:rsidRPr="0047424F">
              <w:rPr>
                <w:rFonts w:ascii="Calibri" w:eastAsia="Calibri" w:hAnsi="Calibri" w:cs="Calibri"/>
                <w:sz w:val="12"/>
                <w:szCs w:val="12"/>
                <w:lang w:val="sv-SE"/>
              </w:rPr>
              <w:t>0</w:t>
            </w:r>
          </w:p>
        </w:tc>
        <w:tc>
          <w:tcPr>
            <w:tcW w:w="4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95FE89" w14:textId="77777777" w:rsidR="00752D0B" w:rsidRPr="0047424F" w:rsidRDefault="00752D0B" w:rsidP="00752D0B">
            <w:pPr>
              <w:jc w:val="center"/>
              <w:rPr>
                <w:rFonts w:ascii="Calibri" w:eastAsia="Calibri" w:hAnsi="Calibri" w:cs="Calibri"/>
                <w:sz w:val="12"/>
                <w:szCs w:val="12"/>
                <w:lang w:val="sv-SE"/>
              </w:rPr>
            </w:pPr>
            <w:r w:rsidRPr="0047424F">
              <w:rPr>
                <w:rFonts w:ascii="Calibri" w:eastAsia="Calibri" w:hAnsi="Calibri" w:cs="Calibri"/>
                <w:sz w:val="12"/>
                <w:szCs w:val="12"/>
                <w:lang w:val="sv-SE"/>
              </w:rPr>
              <w:t>1</w:t>
            </w:r>
          </w:p>
        </w:tc>
        <w:tc>
          <w:tcPr>
            <w:tcW w:w="4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52BEB1" w14:textId="77777777" w:rsidR="00752D0B" w:rsidRPr="0047424F" w:rsidRDefault="00752D0B" w:rsidP="00752D0B">
            <w:pPr>
              <w:jc w:val="center"/>
              <w:rPr>
                <w:rFonts w:ascii="Calibri" w:eastAsia="Calibri" w:hAnsi="Calibri" w:cs="Calibri"/>
                <w:sz w:val="12"/>
                <w:szCs w:val="12"/>
                <w:lang w:val="sv-SE"/>
              </w:rPr>
            </w:pPr>
            <w:r w:rsidRPr="0047424F">
              <w:rPr>
                <w:rFonts w:ascii="Calibri" w:eastAsia="Calibri" w:hAnsi="Calibri" w:cs="Calibri"/>
                <w:sz w:val="12"/>
                <w:szCs w:val="12"/>
                <w:lang w:val="sv-SE"/>
              </w:rPr>
              <w:t>2</w:t>
            </w:r>
          </w:p>
        </w:tc>
        <w:tc>
          <w:tcPr>
            <w:tcW w:w="4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6A3583" w14:textId="77777777" w:rsidR="00752D0B" w:rsidRPr="0047424F" w:rsidRDefault="00752D0B" w:rsidP="00752D0B">
            <w:pPr>
              <w:jc w:val="center"/>
              <w:rPr>
                <w:rFonts w:ascii="Calibri" w:eastAsia="Calibri" w:hAnsi="Calibri" w:cs="Calibri"/>
                <w:sz w:val="12"/>
                <w:szCs w:val="12"/>
                <w:lang w:val="sv-SE"/>
              </w:rPr>
            </w:pPr>
            <w:r w:rsidRPr="0047424F">
              <w:rPr>
                <w:rFonts w:ascii="Calibri" w:eastAsia="Calibri" w:hAnsi="Calibri" w:cs="Calibri"/>
                <w:sz w:val="12"/>
                <w:szCs w:val="12"/>
                <w:lang w:val="sv-SE"/>
              </w:rPr>
              <w:t>3</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93B8AF" w14:textId="77777777" w:rsidR="00752D0B" w:rsidRPr="0047424F" w:rsidRDefault="00752D0B" w:rsidP="00752D0B">
            <w:pPr>
              <w:jc w:val="center"/>
              <w:rPr>
                <w:rFonts w:ascii="Calibri" w:eastAsia="Calibri" w:hAnsi="Calibri" w:cs="Calibri"/>
                <w:sz w:val="12"/>
                <w:szCs w:val="12"/>
                <w:lang w:val="sv-SE"/>
              </w:rPr>
            </w:pPr>
            <w:r w:rsidRPr="0047424F">
              <w:rPr>
                <w:rFonts w:ascii="Calibri" w:eastAsia="Calibri" w:hAnsi="Calibri" w:cs="Calibri"/>
                <w:sz w:val="12"/>
                <w:szCs w:val="12"/>
                <w:lang w:val="sv-SE"/>
              </w:rPr>
              <w:t>4</w:t>
            </w:r>
          </w:p>
        </w:tc>
        <w:tc>
          <w:tcPr>
            <w:tcW w:w="4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20EB90" w14:textId="77777777" w:rsidR="00752D0B" w:rsidRPr="0047424F" w:rsidRDefault="00752D0B" w:rsidP="00752D0B">
            <w:pPr>
              <w:jc w:val="center"/>
              <w:rPr>
                <w:rFonts w:ascii="Calibri" w:eastAsia="Calibri" w:hAnsi="Calibri" w:cs="Calibri"/>
                <w:sz w:val="12"/>
                <w:szCs w:val="12"/>
                <w:lang w:val="sv-SE"/>
              </w:rPr>
            </w:pPr>
            <w:r w:rsidRPr="0047424F">
              <w:rPr>
                <w:rFonts w:ascii="Calibri" w:eastAsia="Calibri" w:hAnsi="Calibri" w:cs="Calibri"/>
                <w:sz w:val="12"/>
                <w:szCs w:val="12"/>
                <w:lang w:val="sv-SE"/>
              </w:rPr>
              <w:t>5</w:t>
            </w:r>
          </w:p>
        </w:tc>
        <w:tc>
          <w:tcPr>
            <w:tcW w:w="4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F9D2EC" w14:textId="77777777" w:rsidR="00752D0B" w:rsidRPr="0047424F" w:rsidRDefault="00752D0B" w:rsidP="00752D0B">
            <w:pPr>
              <w:jc w:val="center"/>
              <w:rPr>
                <w:rFonts w:ascii="Calibri" w:eastAsia="Calibri" w:hAnsi="Calibri" w:cs="Calibri"/>
                <w:sz w:val="12"/>
                <w:szCs w:val="12"/>
                <w:lang w:val="sv-SE"/>
              </w:rPr>
            </w:pPr>
            <w:r w:rsidRPr="0047424F">
              <w:rPr>
                <w:rFonts w:ascii="Calibri" w:eastAsia="Calibri" w:hAnsi="Calibri" w:cs="Calibri"/>
                <w:sz w:val="12"/>
                <w:szCs w:val="12"/>
                <w:lang w:val="sv-SE"/>
              </w:rPr>
              <w:t>6</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1D78E1" w14:textId="70C76034" w:rsidR="00752D0B" w:rsidRPr="0047424F" w:rsidRDefault="00752D0B" w:rsidP="00752D0B">
            <w:pPr>
              <w:jc w:val="center"/>
              <w:rPr>
                <w:rFonts w:ascii="Calibri" w:eastAsia="Calibri" w:hAnsi="Calibri" w:cs="Calibri"/>
                <w:sz w:val="12"/>
                <w:szCs w:val="12"/>
                <w:lang w:val="sv-SE"/>
              </w:rPr>
            </w:pPr>
            <w:r>
              <w:rPr>
                <w:rFonts w:ascii="Calibri" w:eastAsia="Calibri" w:hAnsi="Calibri" w:cs="Calibri"/>
                <w:sz w:val="12"/>
                <w:szCs w:val="12"/>
                <w:lang w:val="sv-SE"/>
              </w:rPr>
              <w:t>...</w:t>
            </w: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B34513" w14:textId="15382E8E" w:rsidR="00752D0B" w:rsidRPr="0047424F" w:rsidRDefault="00752D0B" w:rsidP="00752D0B">
            <w:pPr>
              <w:jc w:val="center"/>
              <w:rPr>
                <w:rFonts w:ascii="Calibri" w:eastAsia="Calibri" w:hAnsi="Calibri" w:cs="Calibri"/>
                <w:sz w:val="12"/>
                <w:szCs w:val="12"/>
                <w:lang w:val="sv-SE"/>
              </w:rPr>
            </w:pPr>
            <w:r>
              <w:rPr>
                <w:rFonts w:ascii="Calibri" w:eastAsia="Calibri" w:hAnsi="Calibri" w:cs="Calibri"/>
                <w:sz w:val="12"/>
                <w:szCs w:val="12"/>
                <w:lang w:val="sv-SE"/>
              </w:rPr>
              <w:t>...</w:t>
            </w:r>
          </w:p>
        </w:tc>
        <w:tc>
          <w:tcPr>
            <w:tcW w:w="425" w:type="dxa"/>
            <w:tcBorders>
              <w:top w:val="single" w:sz="8" w:space="0" w:color="auto"/>
              <w:left w:val="single" w:sz="8" w:space="0" w:color="auto"/>
              <w:bottom w:val="single" w:sz="8" w:space="0" w:color="auto"/>
              <w:right w:val="single" w:sz="8" w:space="0" w:color="auto"/>
            </w:tcBorders>
          </w:tcPr>
          <w:p w14:paraId="560E0CCB" w14:textId="08993F7B" w:rsidR="00752D0B" w:rsidRPr="0047424F" w:rsidRDefault="00752D0B" w:rsidP="00752D0B">
            <w:pPr>
              <w:jc w:val="center"/>
              <w:rPr>
                <w:rFonts w:ascii="Calibri" w:eastAsia="Calibri" w:hAnsi="Calibri" w:cs="Calibri"/>
                <w:sz w:val="12"/>
                <w:szCs w:val="12"/>
                <w:lang w:val="sv-SE"/>
              </w:rPr>
            </w:pPr>
            <w:r>
              <w:rPr>
                <w:rFonts w:ascii="Calibri" w:eastAsia="Calibri" w:hAnsi="Calibri" w:cs="Calibri"/>
                <w:sz w:val="12"/>
                <w:szCs w:val="12"/>
                <w:lang w:val="sv-SE"/>
              </w:rPr>
              <w:t>33</w:t>
            </w:r>
          </w:p>
        </w:tc>
      </w:tr>
      <w:tr w:rsidR="00752D0B" w:rsidRPr="0047424F" w14:paraId="7E7F5B9C" w14:textId="77777777" w:rsidTr="00752D0B">
        <w:trPr>
          <w:trHeight w:val="163"/>
        </w:trPr>
        <w:tc>
          <w:tcPr>
            <w:tcW w:w="247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849ADC" w14:textId="77777777" w:rsidR="00752D0B" w:rsidRPr="0047424F" w:rsidRDefault="00752D0B" w:rsidP="004D7CD6">
            <w:pPr>
              <w:rPr>
                <w:rFonts w:ascii="Calibri" w:eastAsia="Calibri" w:hAnsi="Calibri" w:cs="Calibri"/>
                <w:sz w:val="12"/>
                <w:szCs w:val="12"/>
                <w:lang w:val="sv-SE"/>
              </w:rPr>
            </w:pPr>
            <w:r w:rsidRPr="0047424F">
              <w:rPr>
                <w:rFonts w:ascii="Calibri" w:eastAsia="Calibri" w:hAnsi="Calibri" w:cs="Calibri"/>
                <w:sz w:val="12"/>
                <w:szCs w:val="12"/>
                <w:lang w:val="sv-SE"/>
              </w:rPr>
              <w:t>MPDCCH</w:t>
            </w:r>
          </w:p>
        </w:tc>
        <w:tc>
          <w:tcPr>
            <w:tcW w:w="430" w:type="dxa"/>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hideMark/>
          </w:tcPr>
          <w:p w14:paraId="5F35B7B2" w14:textId="77777777" w:rsidR="00752D0B" w:rsidRPr="0047424F" w:rsidRDefault="00752D0B" w:rsidP="00752D0B">
            <w:pPr>
              <w:jc w:val="center"/>
              <w:rPr>
                <w:rFonts w:ascii="Calibri" w:eastAsia="Calibri" w:hAnsi="Calibri" w:cs="Calibri"/>
                <w:sz w:val="12"/>
                <w:szCs w:val="12"/>
                <w:lang w:val="sv-SE"/>
              </w:rPr>
            </w:pPr>
            <w:r w:rsidRPr="0047424F">
              <w:rPr>
                <w:rFonts w:ascii="Calibri" w:eastAsia="Calibri" w:hAnsi="Calibri" w:cs="Calibri"/>
                <w:sz w:val="12"/>
                <w:szCs w:val="12"/>
                <w:lang w:val="sv-SE"/>
              </w:rPr>
              <w:t>0</w:t>
            </w:r>
          </w:p>
        </w:tc>
        <w:tc>
          <w:tcPr>
            <w:tcW w:w="449" w:type="dxa"/>
            <w:tcBorders>
              <w:top w:val="nil"/>
              <w:left w:val="nil"/>
              <w:bottom w:val="single" w:sz="8" w:space="0" w:color="auto"/>
              <w:right w:val="single" w:sz="8" w:space="0" w:color="auto"/>
            </w:tcBorders>
            <w:tcMar>
              <w:top w:w="0" w:type="dxa"/>
              <w:left w:w="108" w:type="dxa"/>
              <w:bottom w:w="0" w:type="dxa"/>
              <w:right w:w="108" w:type="dxa"/>
            </w:tcMar>
          </w:tcPr>
          <w:p w14:paraId="2AD51656" w14:textId="2889DDD0" w:rsidR="00752D0B" w:rsidRPr="0047424F" w:rsidRDefault="00752D0B" w:rsidP="00752D0B">
            <w:pPr>
              <w:jc w:val="center"/>
              <w:rPr>
                <w:rFonts w:ascii="Calibri" w:eastAsia="Calibri" w:hAnsi="Calibri" w:cs="Calibri"/>
                <w:sz w:val="12"/>
                <w:szCs w:val="12"/>
                <w:lang w:val="sv-SE"/>
              </w:rPr>
            </w:pPr>
          </w:p>
        </w:tc>
        <w:tc>
          <w:tcPr>
            <w:tcW w:w="437" w:type="dxa"/>
            <w:tcBorders>
              <w:top w:val="nil"/>
              <w:left w:val="nil"/>
              <w:bottom w:val="single" w:sz="8" w:space="0" w:color="auto"/>
              <w:right w:val="single" w:sz="8" w:space="0" w:color="auto"/>
            </w:tcBorders>
            <w:tcMar>
              <w:top w:w="0" w:type="dxa"/>
              <w:left w:w="108" w:type="dxa"/>
              <w:bottom w:w="0" w:type="dxa"/>
              <w:right w:w="108" w:type="dxa"/>
            </w:tcMar>
          </w:tcPr>
          <w:p w14:paraId="4BC69F95" w14:textId="7D0449A3" w:rsidR="00752D0B" w:rsidRPr="0047424F" w:rsidRDefault="00752D0B" w:rsidP="00752D0B">
            <w:pPr>
              <w:jc w:val="center"/>
              <w:rPr>
                <w:rFonts w:ascii="Calibri" w:eastAsia="Calibri" w:hAnsi="Calibri" w:cs="Calibri"/>
                <w:sz w:val="12"/>
                <w:szCs w:val="12"/>
                <w:lang w:val="sv-SE"/>
              </w:rPr>
            </w:pPr>
          </w:p>
        </w:tc>
        <w:tc>
          <w:tcPr>
            <w:tcW w:w="447" w:type="dxa"/>
            <w:tcBorders>
              <w:top w:val="nil"/>
              <w:left w:val="nil"/>
              <w:bottom w:val="single" w:sz="8" w:space="0" w:color="auto"/>
              <w:right w:val="single" w:sz="8" w:space="0" w:color="auto"/>
            </w:tcBorders>
            <w:tcMar>
              <w:top w:w="0" w:type="dxa"/>
              <w:left w:w="108" w:type="dxa"/>
              <w:bottom w:w="0" w:type="dxa"/>
              <w:right w:w="108" w:type="dxa"/>
            </w:tcMar>
          </w:tcPr>
          <w:p w14:paraId="1DE4F5C4" w14:textId="4A4CBD3A" w:rsidR="00752D0B" w:rsidRPr="0047424F" w:rsidRDefault="00752D0B" w:rsidP="00752D0B">
            <w:pPr>
              <w:jc w:val="center"/>
              <w:rPr>
                <w:rFonts w:ascii="Calibri" w:eastAsia="Calibri" w:hAnsi="Calibri" w:cs="Calibri"/>
                <w:sz w:val="12"/>
                <w:szCs w:val="12"/>
                <w:lang w:val="sv-SE"/>
              </w:rPr>
            </w:pP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73B5237C" w14:textId="20D29938" w:rsidR="00752D0B" w:rsidRPr="0047424F" w:rsidRDefault="00752D0B" w:rsidP="00752D0B">
            <w:pPr>
              <w:jc w:val="center"/>
              <w:rPr>
                <w:rFonts w:ascii="Calibri" w:eastAsia="Calibri" w:hAnsi="Calibri" w:cs="Calibri"/>
                <w:sz w:val="12"/>
                <w:szCs w:val="12"/>
                <w:lang w:val="sv-SE"/>
              </w:rPr>
            </w:pPr>
          </w:p>
        </w:tc>
        <w:tc>
          <w:tcPr>
            <w:tcW w:w="426" w:type="dxa"/>
            <w:tcBorders>
              <w:top w:val="nil"/>
              <w:left w:val="nil"/>
              <w:bottom w:val="single" w:sz="8" w:space="0" w:color="auto"/>
              <w:right w:val="single" w:sz="8" w:space="0" w:color="auto"/>
            </w:tcBorders>
            <w:tcMar>
              <w:top w:w="0" w:type="dxa"/>
              <w:left w:w="108" w:type="dxa"/>
              <w:bottom w:w="0" w:type="dxa"/>
              <w:right w:w="108" w:type="dxa"/>
            </w:tcMar>
          </w:tcPr>
          <w:p w14:paraId="071F5099" w14:textId="1D92B912" w:rsidR="00752D0B" w:rsidRPr="0047424F" w:rsidRDefault="00752D0B" w:rsidP="00752D0B">
            <w:pPr>
              <w:jc w:val="center"/>
              <w:rPr>
                <w:rFonts w:ascii="Calibri" w:eastAsia="Calibri" w:hAnsi="Calibri" w:cs="Calibri"/>
                <w:sz w:val="12"/>
                <w:szCs w:val="12"/>
                <w:lang w:val="sv-SE"/>
              </w:rPr>
            </w:pPr>
          </w:p>
        </w:tc>
        <w:tc>
          <w:tcPr>
            <w:tcW w:w="426" w:type="dxa"/>
            <w:tcBorders>
              <w:top w:val="nil"/>
              <w:left w:val="nil"/>
              <w:bottom w:val="single" w:sz="8" w:space="0" w:color="auto"/>
              <w:right w:val="single" w:sz="8" w:space="0" w:color="auto"/>
            </w:tcBorders>
            <w:tcMar>
              <w:top w:w="0" w:type="dxa"/>
              <w:left w:w="108" w:type="dxa"/>
              <w:bottom w:w="0" w:type="dxa"/>
              <w:right w:w="108" w:type="dxa"/>
            </w:tcMar>
          </w:tcPr>
          <w:p w14:paraId="5763BD7F" w14:textId="28BAB3DC" w:rsidR="00752D0B" w:rsidRPr="0047424F" w:rsidRDefault="00752D0B" w:rsidP="00752D0B">
            <w:pPr>
              <w:jc w:val="center"/>
              <w:rPr>
                <w:rFonts w:ascii="Calibri" w:eastAsia="Calibri" w:hAnsi="Calibri" w:cs="Calibri"/>
                <w:sz w:val="12"/>
                <w:szCs w:val="12"/>
                <w:lang w:val="sv-SE"/>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286988A8" w14:textId="488B72AA" w:rsidR="00752D0B" w:rsidRPr="0047424F" w:rsidRDefault="00752D0B" w:rsidP="00752D0B">
            <w:pPr>
              <w:jc w:val="center"/>
              <w:rPr>
                <w:rFonts w:ascii="Calibri" w:eastAsia="Calibri" w:hAnsi="Calibri" w:cs="Calibri"/>
                <w:sz w:val="12"/>
                <w:szCs w:val="12"/>
                <w:lang w:val="sv-SE"/>
              </w:rPr>
            </w:pP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14:paraId="73AC4E80" w14:textId="2C18A555" w:rsidR="00752D0B" w:rsidRPr="0047424F" w:rsidRDefault="00752D0B" w:rsidP="00752D0B">
            <w:pPr>
              <w:jc w:val="center"/>
              <w:rPr>
                <w:rFonts w:ascii="Calibri" w:eastAsia="Calibri" w:hAnsi="Calibri" w:cs="Calibri"/>
                <w:sz w:val="12"/>
                <w:szCs w:val="12"/>
                <w:lang w:val="sv-SE"/>
              </w:rPr>
            </w:pPr>
          </w:p>
        </w:tc>
        <w:tc>
          <w:tcPr>
            <w:tcW w:w="425" w:type="dxa"/>
            <w:tcBorders>
              <w:top w:val="single" w:sz="8" w:space="0" w:color="auto"/>
              <w:left w:val="single" w:sz="8" w:space="0" w:color="auto"/>
              <w:bottom w:val="single" w:sz="8" w:space="0" w:color="auto"/>
              <w:right w:val="single" w:sz="8" w:space="0" w:color="auto"/>
            </w:tcBorders>
            <w:shd w:val="clear" w:color="auto" w:fill="92D050"/>
          </w:tcPr>
          <w:p w14:paraId="4C1CEF70" w14:textId="6AB9D1C3" w:rsidR="00752D0B" w:rsidRDefault="00752D0B" w:rsidP="00752D0B">
            <w:pPr>
              <w:jc w:val="center"/>
              <w:rPr>
                <w:rFonts w:ascii="Calibri" w:eastAsia="Calibri" w:hAnsi="Calibri" w:cs="Calibri"/>
                <w:sz w:val="12"/>
                <w:szCs w:val="12"/>
                <w:lang w:val="sv-SE"/>
              </w:rPr>
            </w:pPr>
            <w:r>
              <w:rPr>
                <w:rFonts w:ascii="Calibri" w:eastAsia="Calibri" w:hAnsi="Calibri" w:cs="Calibri"/>
                <w:sz w:val="12"/>
                <w:szCs w:val="12"/>
                <w:lang w:val="sv-SE"/>
              </w:rPr>
              <w:t>0</w:t>
            </w:r>
          </w:p>
        </w:tc>
      </w:tr>
      <w:tr w:rsidR="00752D0B" w:rsidRPr="0047424F" w14:paraId="56A1D6CA" w14:textId="77777777" w:rsidTr="00752D0B">
        <w:trPr>
          <w:trHeight w:val="168"/>
        </w:trPr>
        <w:tc>
          <w:tcPr>
            <w:tcW w:w="247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EA6C20" w14:textId="77777777" w:rsidR="00752D0B" w:rsidRPr="0047424F" w:rsidRDefault="00752D0B" w:rsidP="004D7CD6">
            <w:pPr>
              <w:rPr>
                <w:rFonts w:ascii="Calibri" w:eastAsia="Calibri" w:hAnsi="Calibri" w:cs="Calibri"/>
                <w:sz w:val="12"/>
                <w:szCs w:val="12"/>
                <w:lang w:val="sv-SE"/>
              </w:rPr>
            </w:pPr>
            <w:r w:rsidRPr="0047424F">
              <w:rPr>
                <w:rFonts w:ascii="Calibri" w:eastAsia="Calibri" w:hAnsi="Calibri" w:cs="Calibri"/>
                <w:sz w:val="12"/>
                <w:szCs w:val="12"/>
                <w:lang w:val="sv-SE"/>
              </w:rPr>
              <w:t>PDSCH</w:t>
            </w:r>
          </w:p>
        </w:tc>
        <w:tc>
          <w:tcPr>
            <w:tcW w:w="430" w:type="dxa"/>
            <w:tcBorders>
              <w:top w:val="nil"/>
              <w:left w:val="nil"/>
              <w:bottom w:val="single" w:sz="8" w:space="0" w:color="auto"/>
              <w:right w:val="single" w:sz="8" w:space="0" w:color="auto"/>
            </w:tcBorders>
            <w:tcMar>
              <w:top w:w="0" w:type="dxa"/>
              <w:left w:w="108" w:type="dxa"/>
              <w:bottom w:w="0" w:type="dxa"/>
              <w:right w:w="108" w:type="dxa"/>
            </w:tcMar>
            <w:hideMark/>
          </w:tcPr>
          <w:p w14:paraId="1A42FC97" w14:textId="77777777" w:rsidR="00752D0B" w:rsidRPr="0047424F" w:rsidRDefault="00752D0B" w:rsidP="00752D0B">
            <w:pPr>
              <w:jc w:val="center"/>
              <w:rPr>
                <w:rFonts w:ascii="Calibri" w:eastAsia="Calibri" w:hAnsi="Calibri" w:cs="Calibri"/>
                <w:sz w:val="12"/>
                <w:szCs w:val="12"/>
                <w:lang w:val="sv-SE"/>
              </w:rPr>
            </w:pPr>
          </w:p>
        </w:tc>
        <w:tc>
          <w:tcPr>
            <w:tcW w:w="449" w:type="dxa"/>
            <w:tcBorders>
              <w:top w:val="nil"/>
              <w:left w:val="nil"/>
              <w:bottom w:val="single" w:sz="8" w:space="0" w:color="auto"/>
              <w:right w:val="single" w:sz="8" w:space="0" w:color="auto"/>
            </w:tcBorders>
            <w:tcMar>
              <w:top w:w="0" w:type="dxa"/>
              <w:left w:w="108" w:type="dxa"/>
              <w:bottom w:w="0" w:type="dxa"/>
              <w:right w:w="108" w:type="dxa"/>
            </w:tcMar>
            <w:hideMark/>
          </w:tcPr>
          <w:p w14:paraId="16E0F52A" w14:textId="77777777" w:rsidR="00752D0B" w:rsidRPr="0047424F" w:rsidRDefault="00752D0B" w:rsidP="00752D0B">
            <w:pPr>
              <w:jc w:val="center"/>
              <w:rPr>
                <w:rFonts w:eastAsia="Times New Roman"/>
                <w:sz w:val="12"/>
                <w:szCs w:val="12"/>
                <w:lang w:val="sv-SE" w:eastAsia="sv-SE"/>
              </w:rPr>
            </w:pPr>
          </w:p>
        </w:tc>
        <w:tc>
          <w:tcPr>
            <w:tcW w:w="437"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hideMark/>
          </w:tcPr>
          <w:p w14:paraId="4F2A0A99" w14:textId="77777777" w:rsidR="00752D0B" w:rsidRPr="0047424F" w:rsidRDefault="00752D0B" w:rsidP="00752D0B">
            <w:pPr>
              <w:jc w:val="center"/>
              <w:rPr>
                <w:rFonts w:ascii="Calibri" w:eastAsia="Calibri" w:hAnsi="Calibri" w:cs="Calibri"/>
                <w:sz w:val="12"/>
                <w:szCs w:val="12"/>
                <w:lang w:val="sv-SE"/>
              </w:rPr>
            </w:pPr>
            <w:r w:rsidRPr="0047424F">
              <w:rPr>
                <w:rFonts w:ascii="Calibri" w:eastAsia="Calibri" w:hAnsi="Calibri" w:cs="Calibri"/>
                <w:sz w:val="12"/>
                <w:szCs w:val="12"/>
                <w:lang w:val="sv-SE"/>
              </w:rPr>
              <w:t>0</w:t>
            </w:r>
          </w:p>
        </w:tc>
        <w:tc>
          <w:tcPr>
            <w:tcW w:w="447" w:type="dxa"/>
            <w:tcBorders>
              <w:top w:val="nil"/>
              <w:left w:val="nil"/>
              <w:bottom w:val="single" w:sz="8" w:space="0" w:color="auto"/>
              <w:right w:val="single" w:sz="8" w:space="0" w:color="auto"/>
            </w:tcBorders>
            <w:tcMar>
              <w:top w:w="0" w:type="dxa"/>
              <w:left w:w="108" w:type="dxa"/>
              <w:bottom w:w="0" w:type="dxa"/>
              <w:right w:w="108" w:type="dxa"/>
            </w:tcMar>
          </w:tcPr>
          <w:p w14:paraId="1AE56E38" w14:textId="42C36AD8" w:rsidR="00752D0B" w:rsidRPr="0047424F" w:rsidRDefault="00752D0B" w:rsidP="00752D0B">
            <w:pPr>
              <w:jc w:val="center"/>
              <w:rPr>
                <w:rFonts w:ascii="Calibri" w:eastAsia="Calibri" w:hAnsi="Calibri" w:cs="Calibri"/>
                <w:sz w:val="12"/>
                <w:szCs w:val="12"/>
                <w:lang w:val="sv-SE"/>
              </w:rPr>
            </w:pP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6EC21DA0" w14:textId="06C15AC2" w:rsidR="00752D0B" w:rsidRPr="0047424F" w:rsidRDefault="00752D0B" w:rsidP="00752D0B">
            <w:pPr>
              <w:jc w:val="center"/>
              <w:rPr>
                <w:rFonts w:ascii="Calibri" w:eastAsia="Calibri" w:hAnsi="Calibri" w:cs="Calibri"/>
                <w:sz w:val="12"/>
                <w:szCs w:val="12"/>
                <w:lang w:val="sv-SE"/>
              </w:rPr>
            </w:pPr>
          </w:p>
        </w:tc>
        <w:tc>
          <w:tcPr>
            <w:tcW w:w="426" w:type="dxa"/>
            <w:tcBorders>
              <w:top w:val="nil"/>
              <w:left w:val="nil"/>
              <w:bottom w:val="single" w:sz="8" w:space="0" w:color="auto"/>
              <w:right w:val="single" w:sz="8" w:space="0" w:color="auto"/>
            </w:tcBorders>
            <w:tcMar>
              <w:top w:w="0" w:type="dxa"/>
              <w:left w:w="108" w:type="dxa"/>
              <w:bottom w:w="0" w:type="dxa"/>
              <w:right w:w="108" w:type="dxa"/>
            </w:tcMar>
          </w:tcPr>
          <w:p w14:paraId="27F787AD" w14:textId="01E34456" w:rsidR="00752D0B" w:rsidRPr="0047424F" w:rsidRDefault="00752D0B" w:rsidP="00752D0B">
            <w:pPr>
              <w:jc w:val="center"/>
              <w:rPr>
                <w:rFonts w:ascii="Calibri" w:eastAsia="Calibri" w:hAnsi="Calibri" w:cs="Calibri"/>
                <w:sz w:val="12"/>
                <w:szCs w:val="12"/>
                <w:lang w:val="sv-SE"/>
              </w:rPr>
            </w:pPr>
          </w:p>
        </w:tc>
        <w:tc>
          <w:tcPr>
            <w:tcW w:w="426" w:type="dxa"/>
            <w:tcBorders>
              <w:top w:val="nil"/>
              <w:left w:val="nil"/>
              <w:bottom w:val="single" w:sz="8" w:space="0" w:color="auto"/>
              <w:right w:val="single" w:sz="8" w:space="0" w:color="auto"/>
            </w:tcBorders>
            <w:tcMar>
              <w:top w:w="0" w:type="dxa"/>
              <w:left w:w="108" w:type="dxa"/>
              <w:bottom w:w="0" w:type="dxa"/>
              <w:right w:w="108" w:type="dxa"/>
            </w:tcMar>
          </w:tcPr>
          <w:p w14:paraId="5E1CB7C3" w14:textId="55CBAE1C" w:rsidR="00752D0B" w:rsidRPr="0047424F" w:rsidRDefault="00752D0B" w:rsidP="00752D0B">
            <w:pPr>
              <w:jc w:val="center"/>
              <w:rPr>
                <w:rFonts w:ascii="Calibri" w:eastAsia="Calibri" w:hAnsi="Calibri" w:cs="Calibri"/>
                <w:sz w:val="12"/>
                <w:szCs w:val="12"/>
                <w:lang w:val="sv-SE"/>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0EC28B5C" w14:textId="207579BB" w:rsidR="00752D0B" w:rsidRPr="0047424F" w:rsidRDefault="00752D0B" w:rsidP="00752D0B">
            <w:pPr>
              <w:jc w:val="center"/>
              <w:rPr>
                <w:rFonts w:ascii="Calibri" w:eastAsia="Calibri" w:hAnsi="Calibri" w:cs="Calibri"/>
                <w:sz w:val="12"/>
                <w:szCs w:val="12"/>
                <w:lang w:val="sv-SE"/>
              </w:rPr>
            </w:pP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14:paraId="586901E4" w14:textId="0ADECD45" w:rsidR="00752D0B" w:rsidRPr="0047424F" w:rsidRDefault="00752D0B" w:rsidP="00752D0B">
            <w:pPr>
              <w:jc w:val="center"/>
              <w:rPr>
                <w:rFonts w:ascii="Calibri" w:eastAsia="Calibri" w:hAnsi="Calibri" w:cs="Calibri"/>
                <w:sz w:val="12"/>
                <w:szCs w:val="12"/>
                <w:lang w:val="sv-SE"/>
              </w:rPr>
            </w:pPr>
          </w:p>
        </w:tc>
        <w:tc>
          <w:tcPr>
            <w:tcW w:w="425" w:type="dxa"/>
            <w:tcBorders>
              <w:top w:val="single" w:sz="8" w:space="0" w:color="auto"/>
              <w:left w:val="single" w:sz="8" w:space="0" w:color="auto"/>
              <w:bottom w:val="single" w:sz="8" w:space="0" w:color="auto"/>
              <w:right w:val="single" w:sz="8" w:space="0" w:color="auto"/>
            </w:tcBorders>
          </w:tcPr>
          <w:p w14:paraId="214849C8" w14:textId="77777777" w:rsidR="00752D0B" w:rsidRPr="0047424F" w:rsidRDefault="00752D0B" w:rsidP="00752D0B">
            <w:pPr>
              <w:jc w:val="center"/>
              <w:rPr>
                <w:rFonts w:ascii="Calibri" w:eastAsia="Calibri" w:hAnsi="Calibri" w:cs="Calibri"/>
                <w:sz w:val="12"/>
                <w:szCs w:val="12"/>
                <w:lang w:val="sv-SE"/>
              </w:rPr>
            </w:pPr>
          </w:p>
        </w:tc>
      </w:tr>
      <w:tr w:rsidR="00752D0B" w:rsidRPr="0047424F" w14:paraId="29EE139B" w14:textId="77777777" w:rsidTr="00752D0B">
        <w:trPr>
          <w:trHeight w:val="332"/>
        </w:trPr>
        <w:tc>
          <w:tcPr>
            <w:tcW w:w="2479" w:type="dxa"/>
            <w:gridSpan w:val="2"/>
            <w:tcBorders>
              <w:top w:val="nil"/>
              <w:left w:val="single" w:sz="8" w:space="0" w:color="auto"/>
              <w:bottom w:val="single" w:sz="8" w:space="0" w:color="4472C4"/>
              <w:right w:val="single" w:sz="8" w:space="0" w:color="auto"/>
            </w:tcBorders>
            <w:tcMar>
              <w:top w:w="0" w:type="dxa"/>
              <w:left w:w="108" w:type="dxa"/>
              <w:bottom w:w="0" w:type="dxa"/>
              <w:right w:w="108" w:type="dxa"/>
            </w:tcMar>
            <w:hideMark/>
          </w:tcPr>
          <w:p w14:paraId="0D7C41F2" w14:textId="27F10126" w:rsidR="00752D0B" w:rsidRPr="0047424F" w:rsidRDefault="00752D0B" w:rsidP="004D7CD6">
            <w:pPr>
              <w:rPr>
                <w:rFonts w:ascii="Calibri" w:eastAsia="Calibri" w:hAnsi="Calibri" w:cs="Calibri"/>
                <w:sz w:val="12"/>
                <w:szCs w:val="12"/>
                <w:lang w:val="sv-SE"/>
              </w:rPr>
            </w:pPr>
            <w:r w:rsidRPr="0047424F">
              <w:rPr>
                <w:rFonts w:ascii="Calibri" w:eastAsia="Calibri" w:hAnsi="Calibri" w:cs="Calibri"/>
                <w:sz w:val="12"/>
                <w:szCs w:val="12"/>
                <w:lang w:val="sv-SE"/>
              </w:rPr>
              <w:t>PUCCH</w:t>
            </w:r>
          </w:p>
        </w:tc>
        <w:tc>
          <w:tcPr>
            <w:tcW w:w="430" w:type="dxa"/>
            <w:tcBorders>
              <w:top w:val="nil"/>
              <w:left w:val="nil"/>
              <w:bottom w:val="single" w:sz="8" w:space="0" w:color="4472C4"/>
              <w:right w:val="single" w:sz="8" w:space="0" w:color="auto"/>
            </w:tcBorders>
            <w:tcMar>
              <w:top w:w="0" w:type="dxa"/>
              <w:left w:w="108" w:type="dxa"/>
              <w:bottom w:w="0" w:type="dxa"/>
              <w:right w:w="108" w:type="dxa"/>
            </w:tcMar>
          </w:tcPr>
          <w:p w14:paraId="72FAA9AB" w14:textId="77777777" w:rsidR="00752D0B" w:rsidRPr="0047424F" w:rsidRDefault="00752D0B" w:rsidP="00752D0B">
            <w:pPr>
              <w:jc w:val="center"/>
              <w:rPr>
                <w:rFonts w:ascii="Calibri" w:eastAsia="Calibri" w:hAnsi="Calibri" w:cs="Calibri"/>
                <w:sz w:val="12"/>
                <w:szCs w:val="12"/>
                <w:lang w:val="sv-SE"/>
              </w:rPr>
            </w:pPr>
          </w:p>
        </w:tc>
        <w:tc>
          <w:tcPr>
            <w:tcW w:w="449" w:type="dxa"/>
            <w:tcBorders>
              <w:top w:val="nil"/>
              <w:left w:val="nil"/>
              <w:bottom w:val="single" w:sz="8" w:space="0" w:color="4472C4"/>
              <w:right w:val="single" w:sz="8" w:space="0" w:color="auto"/>
            </w:tcBorders>
            <w:tcMar>
              <w:top w:w="0" w:type="dxa"/>
              <w:left w:w="108" w:type="dxa"/>
              <w:bottom w:w="0" w:type="dxa"/>
              <w:right w:w="108" w:type="dxa"/>
            </w:tcMar>
          </w:tcPr>
          <w:p w14:paraId="154BED46" w14:textId="77777777" w:rsidR="00752D0B" w:rsidRPr="0047424F" w:rsidRDefault="00752D0B" w:rsidP="00752D0B">
            <w:pPr>
              <w:jc w:val="center"/>
              <w:rPr>
                <w:rFonts w:ascii="Calibri" w:eastAsia="Calibri" w:hAnsi="Calibri" w:cs="Calibri"/>
                <w:sz w:val="12"/>
                <w:szCs w:val="12"/>
                <w:lang w:val="sv-SE"/>
              </w:rPr>
            </w:pPr>
          </w:p>
        </w:tc>
        <w:tc>
          <w:tcPr>
            <w:tcW w:w="437" w:type="dxa"/>
            <w:tcBorders>
              <w:top w:val="nil"/>
              <w:left w:val="nil"/>
              <w:bottom w:val="single" w:sz="8" w:space="0" w:color="4472C4"/>
              <w:right w:val="single" w:sz="8" w:space="0" w:color="auto"/>
            </w:tcBorders>
            <w:tcMar>
              <w:top w:w="0" w:type="dxa"/>
              <w:left w:w="108" w:type="dxa"/>
              <w:bottom w:w="0" w:type="dxa"/>
              <w:right w:w="108" w:type="dxa"/>
            </w:tcMar>
          </w:tcPr>
          <w:p w14:paraId="1CDA5C7D" w14:textId="77777777" w:rsidR="00752D0B" w:rsidRPr="0047424F" w:rsidRDefault="00752D0B" w:rsidP="00752D0B">
            <w:pPr>
              <w:jc w:val="center"/>
              <w:rPr>
                <w:rFonts w:ascii="Calibri" w:eastAsia="Calibri" w:hAnsi="Calibri" w:cs="Calibri"/>
                <w:sz w:val="12"/>
                <w:szCs w:val="12"/>
                <w:lang w:val="sv-SE"/>
              </w:rPr>
            </w:pPr>
          </w:p>
        </w:tc>
        <w:tc>
          <w:tcPr>
            <w:tcW w:w="447" w:type="dxa"/>
            <w:tcBorders>
              <w:top w:val="nil"/>
              <w:left w:val="nil"/>
              <w:bottom w:val="single" w:sz="8" w:space="0" w:color="4472C4"/>
              <w:right w:val="single" w:sz="8" w:space="0" w:color="auto"/>
            </w:tcBorders>
            <w:tcMar>
              <w:top w:w="0" w:type="dxa"/>
              <w:left w:w="108" w:type="dxa"/>
              <w:bottom w:w="0" w:type="dxa"/>
              <w:right w:w="108" w:type="dxa"/>
            </w:tcMar>
          </w:tcPr>
          <w:p w14:paraId="001AFAE2" w14:textId="77777777" w:rsidR="00752D0B" w:rsidRPr="0047424F" w:rsidRDefault="00752D0B" w:rsidP="00752D0B">
            <w:pPr>
              <w:jc w:val="center"/>
              <w:rPr>
                <w:rFonts w:ascii="Calibri" w:eastAsia="Calibri" w:hAnsi="Calibri" w:cs="Calibri"/>
                <w:sz w:val="12"/>
                <w:szCs w:val="12"/>
                <w:lang w:val="sv-SE"/>
              </w:rPr>
            </w:pPr>
          </w:p>
        </w:tc>
        <w:tc>
          <w:tcPr>
            <w:tcW w:w="425" w:type="dxa"/>
            <w:tcBorders>
              <w:top w:val="nil"/>
              <w:left w:val="nil"/>
              <w:bottom w:val="single" w:sz="8" w:space="0" w:color="4472C4"/>
              <w:right w:val="single" w:sz="8" w:space="0" w:color="auto"/>
            </w:tcBorders>
            <w:tcMar>
              <w:top w:w="0" w:type="dxa"/>
              <w:left w:w="108" w:type="dxa"/>
              <w:bottom w:w="0" w:type="dxa"/>
              <w:right w:w="108" w:type="dxa"/>
            </w:tcMar>
          </w:tcPr>
          <w:p w14:paraId="261770EB" w14:textId="77777777" w:rsidR="00752D0B" w:rsidRPr="0047424F" w:rsidRDefault="00752D0B" w:rsidP="00752D0B">
            <w:pPr>
              <w:jc w:val="center"/>
              <w:rPr>
                <w:rFonts w:ascii="Calibri" w:eastAsia="Calibri" w:hAnsi="Calibri" w:cs="Calibri"/>
                <w:sz w:val="12"/>
                <w:szCs w:val="12"/>
                <w:lang w:val="sv-SE"/>
              </w:rPr>
            </w:pPr>
          </w:p>
        </w:tc>
        <w:tc>
          <w:tcPr>
            <w:tcW w:w="426" w:type="dxa"/>
            <w:tcBorders>
              <w:top w:val="nil"/>
              <w:left w:val="nil"/>
              <w:bottom w:val="single" w:sz="8" w:space="0" w:color="4472C4"/>
              <w:right w:val="single" w:sz="8" w:space="0" w:color="auto"/>
            </w:tcBorders>
            <w:tcMar>
              <w:top w:w="0" w:type="dxa"/>
              <w:left w:w="108" w:type="dxa"/>
              <w:bottom w:w="0" w:type="dxa"/>
              <w:right w:w="108" w:type="dxa"/>
            </w:tcMar>
          </w:tcPr>
          <w:p w14:paraId="6C539F6B" w14:textId="77777777" w:rsidR="00752D0B" w:rsidRPr="0047424F" w:rsidRDefault="00752D0B" w:rsidP="00752D0B">
            <w:pPr>
              <w:jc w:val="center"/>
              <w:rPr>
                <w:rFonts w:ascii="Calibri" w:eastAsia="Calibri" w:hAnsi="Calibri" w:cs="Calibri"/>
                <w:sz w:val="12"/>
                <w:szCs w:val="12"/>
                <w:lang w:val="sv-SE"/>
              </w:rPr>
            </w:pPr>
          </w:p>
        </w:tc>
        <w:tc>
          <w:tcPr>
            <w:tcW w:w="426" w:type="dxa"/>
            <w:tcBorders>
              <w:top w:val="single" w:sz="8" w:space="0" w:color="auto"/>
              <w:left w:val="nil"/>
              <w:bottom w:val="single" w:sz="8" w:space="0" w:color="4472C4"/>
              <w:right w:val="single" w:sz="8" w:space="0" w:color="auto"/>
            </w:tcBorders>
            <w:shd w:val="clear" w:color="auto" w:fill="F4B083" w:themeFill="accent2" w:themeFillTint="99"/>
            <w:tcMar>
              <w:top w:w="0" w:type="dxa"/>
              <w:left w:w="108" w:type="dxa"/>
              <w:bottom w:w="0" w:type="dxa"/>
              <w:right w:w="108" w:type="dxa"/>
            </w:tcMar>
          </w:tcPr>
          <w:p w14:paraId="5F17AF00" w14:textId="4C0F481B" w:rsidR="00752D0B" w:rsidRPr="0047424F" w:rsidRDefault="00752D0B" w:rsidP="00752D0B">
            <w:pPr>
              <w:jc w:val="center"/>
              <w:rPr>
                <w:rFonts w:ascii="Calibri" w:eastAsia="Calibri" w:hAnsi="Calibri" w:cs="Calibri"/>
                <w:sz w:val="12"/>
                <w:szCs w:val="12"/>
                <w:lang w:val="sv-SE"/>
              </w:rPr>
            </w:pPr>
            <w:r>
              <w:rPr>
                <w:rFonts w:ascii="Calibri" w:eastAsia="Calibri" w:hAnsi="Calibri" w:cs="Calibri"/>
                <w:sz w:val="12"/>
                <w:szCs w:val="12"/>
                <w:lang w:val="sv-SE"/>
              </w:rPr>
              <w:t>0</w:t>
            </w:r>
          </w:p>
        </w:tc>
        <w:tc>
          <w:tcPr>
            <w:tcW w:w="1275" w:type="dxa"/>
            <w:tcBorders>
              <w:top w:val="nil"/>
              <w:left w:val="nil"/>
              <w:bottom w:val="single" w:sz="8" w:space="0" w:color="4472C4"/>
              <w:right w:val="single" w:sz="8" w:space="0" w:color="auto"/>
            </w:tcBorders>
            <w:tcMar>
              <w:top w:w="0" w:type="dxa"/>
              <w:left w:w="108" w:type="dxa"/>
              <w:bottom w:w="0" w:type="dxa"/>
              <w:right w:w="108" w:type="dxa"/>
            </w:tcMar>
          </w:tcPr>
          <w:p w14:paraId="2AA178D4" w14:textId="77777777" w:rsidR="00752D0B" w:rsidRPr="0047424F" w:rsidRDefault="00752D0B" w:rsidP="00752D0B">
            <w:pPr>
              <w:jc w:val="center"/>
              <w:rPr>
                <w:rFonts w:ascii="Calibri" w:eastAsia="Calibri" w:hAnsi="Calibri" w:cs="Calibri"/>
                <w:sz w:val="12"/>
                <w:szCs w:val="12"/>
                <w:lang w:val="sv-SE"/>
              </w:rPr>
            </w:pPr>
          </w:p>
        </w:tc>
        <w:tc>
          <w:tcPr>
            <w:tcW w:w="1560" w:type="dxa"/>
            <w:tcBorders>
              <w:top w:val="nil"/>
              <w:left w:val="nil"/>
              <w:bottom w:val="single" w:sz="8" w:space="0" w:color="4472C4"/>
              <w:right w:val="single" w:sz="8" w:space="0" w:color="auto"/>
            </w:tcBorders>
            <w:tcMar>
              <w:top w:w="0" w:type="dxa"/>
              <w:left w:w="108" w:type="dxa"/>
              <w:bottom w:w="0" w:type="dxa"/>
              <w:right w:w="108" w:type="dxa"/>
            </w:tcMar>
          </w:tcPr>
          <w:p w14:paraId="0FA53117" w14:textId="77777777" w:rsidR="00752D0B" w:rsidRPr="0047424F" w:rsidRDefault="00752D0B" w:rsidP="00752D0B">
            <w:pPr>
              <w:jc w:val="center"/>
              <w:rPr>
                <w:rFonts w:ascii="Calibri" w:eastAsia="Calibri" w:hAnsi="Calibri" w:cs="Calibri"/>
                <w:sz w:val="12"/>
                <w:szCs w:val="12"/>
                <w:lang w:val="sv-SE"/>
              </w:rPr>
            </w:pPr>
          </w:p>
        </w:tc>
        <w:tc>
          <w:tcPr>
            <w:tcW w:w="425" w:type="dxa"/>
            <w:tcBorders>
              <w:top w:val="single" w:sz="8" w:space="0" w:color="auto"/>
              <w:left w:val="single" w:sz="8" w:space="0" w:color="auto"/>
              <w:bottom w:val="single" w:sz="8" w:space="0" w:color="auto"/>
              <w:right w:val="single" w:sz="8" w:space="0" w:color="auto"/>
            </w:tcBorders>
          </w:tcPr>
          <w:p w14:paraId="39155A39" w14:textId="77777777" w:rsidR="00752D0B" w:rsidRPr="0047424F" w:rsidRDefault="00752D0B" w:rsidP="00752D0B">
            <w:pPr>
              <w:jc w:val="center"/>
              <w:rPr>
                <w:rFonts w:ascii="Calibri" w:eastAsia="Calibri" w:hAnsi="Calibri" w:cs="Calibri"/>
                <w:sz w:val="12"/>
                <w:szCs w:val="12"/>
                <w:lang w:val="sv-SE"/>
              </w:rPr>
            </w:pPr>
          </w:p>
        </w:tc>
      </w:tr>
      <w:tr w:rsidR="00752D0B" w:rsidRPr="0047424F" w14:paraId="666C8225" w14:textId="26E46745" w:rsidTr="00752D0B">
        <w:trPr>
          <w:trHeight w:val="245"/>
        </w:trPr>
        <w:tc>
          <w:tcPr>
            <w:tcW w:w="1243" w:type="dxa"/>
            <w:vMerge w:val="restart"/>
            <w:tcBorders>
              <w:top w:val="nil"/>
              <w:left w:val="single" w:sz="8" w:space="0" w:color="auto"/>
              <w:bottom w:val="single" w:sz="8" w:space="0" w:color="4472C4"/>
              <w:right w:val="single" w:sz="8" w:space="0" w:color="auto"/>
            </w:tcBorders>
            <w:tcMar>
              <w:top w:w="0" w:type="dxa"/>
              <w:left w:w="108" w:type="dxa"/>
              <w:bottom w:w="0" w:type="dxa"/>
              <w:right w:w="108" w:type="dxa"/>
            </w:tcMar>
            <w:hideMark/>
          </w:tcPr>
          <w:p w14:paraId="2D72F049" w14:textId="77777777" w:rsidR="00752D0B" w:rsidRPr="0047424F" w:rsidRDefault="00752D0B" w:rsidP="004D7CD6">
            <w:pPr>
              <w:rPr>
                <w:rFonts w:ascii="Calibri" w:eastAsia="Calibri" w:hAnsi="Calibri" w:cs="Calibri"/>
                <w:sz w:val="12"/>
                <w:szCs w:val="12"/>
                <w:lang w:val="sv-SE"/>
              </w:rPr>
            </w:pPr>
            <w:r w:rsidRPr="0047424F">
              <w:rPr>
                <w:rFonts w:ascii="Calibri" w:eastAsia="Calibri" w:hAnsi="Calibri" w:cs="Calibri"/>
                <w:sz w:val="12"/>
                <w:szCs w:val="12"/>
              </w:rPr>
              <w:t>For HARQ Process #0</w:t>
            </w:r>
          </w:p>
        </w:tc>
        <w:tc>
          <w:tcPr>
            <w:tcW w:w="1236" w:type="dxa"/>
            <w:tcBorders>
              <w:top w:val="nil"/>
              <w:left w:val="nil"/>
              <w:bottom w:val="single" w:sz="8" w:space="0" w:color="4472C4"/>
              <w:right w:val="single" w:sz="8" w:space="0" w:color="auto"/>
            </w:tcBorders>
            <w:hideMark/>
          </w:tcPr>
          <w:p w14:paraId="2D78E53B" w14:textId="77777777" w:rsidR="00752D0B" w:rsidRPr="0047424F" w:rsidRDefault="00752D0B" w:rsidP="004D7CD6">
            <w:pPr>
              <w:rPr>
                <w:rFonts w:ascii="Calibri" w:eastAsia="Calibri" w:hAnsi="Calibri" w:cs="Calibri"/>
                <w:sz w:val="12"/>
                <w:szCs w:val="12"/>
                <w:lang w:val="sv-SE"/>
              </w:rPr>
            </w:pPr>
            <w:r w:rsidRPr="0047424F">
              <w:rPr>
                <w:rFonts w:ascii="Calibri" w:eastAsia="Calibri" w:hAnsi="Calibri" w:cs="Calibri"/>
                <w:sz w:val="12"/>
                <w:szCs w:val="12"/>
              </w:rPr>
              <w:t>MDPCCH to PDSCH delay</w:t>
            </w:r>
          </w:p>
        </w:tc>
        <w:tc>
          <w:tcPr>
            <w:tcW w:w="430" w:type="dxa"/>
            <w:tcBorders>
              <w:top w:val="nil"/>
              <w:left w:val="nil"/>
              <w:bottom w:val="single" w:sz="8" w:space="0" w:color="4472C4"/>
              <w:right w:val="single" w:sz="8" w:space="0" w:color="auto"/>
            </w:tcBorders>
            <w:tcMar>
              <w:top w:w="0" w:type="dxa"/>
              <w:left w:w="108" w:type="dxa"/>
              <w:bottom w:w="0" w:type="dxa"/>
              <w:right w:w="108" w:type="dxa"/>
            </w:tcMar>
          </w:tcPr>
          <w:p w14:paraId="11FED191" w14:textId="77777777" w:rsidR="00752D0B" w:rsidRPr="0047424F" w:rsidRDefault="00752D0B" w:rsidP="00752D0B">
            <w:pPr>
              <w:jc w:val="center"/>
              <w:rPr>
                <w:rFonts w:ascii="Calibri" w:eastAsia="Calibri" w:hAnsi="Calibri" w:cs="Calibri"/>
                <w:sz w:val="12"/>
                <w:szCs w:val="12"/>
                <w:lang w:val="sv-SE"/>
              </w:rPr>
            </w:pPr>
          </w:p>
        </w:tc>
        <w:tc>
          <w:tcPr>
            <w:tcW w:w="449" w:type="dxa"/>
            <w:tcBorders>
              <w:top w:val="nil"/>
              <w:left w:val="nil"/>
              <w:bottom w:val="single" w:sz="8" w:space="0" w:color="4472C4"/>
              <w:right w:val="single" w:sz="8" w:space="0" w:color="auto"/>
            </w:tcBorders>
            <w:tcMar>
              <w:top w:w="0" w:type="dxa"/>
              <w:left w:w="108" w:type="dxa"/>
              <w:bottom w:w="0" w:type="dxa"/>
              <w:right w:w="108" w:type="dxa"/>
            </w:tcMar>
            <w:hideMark/>
          </w:tcPr>
          <w:p w14:paraId="77BA65F0" w14:textId="77777777" w:rsidR="00752D0B" w:rsidRPr="0047424F" w:rsidRDefault="00752D0B" w:rsidP="00752D0B">
            <w:pPr>
              <w:jc w:val="center"/>
              <w:rPr>
                <w:rFonts w:ascii="Calibri" w:eastAsia="Calibri" w:hAnsi="Calibri" w:cs="Calibri"/>
                <w:sz w:val="12"/>
                <w:szCs w:val="12"/>
                <w:lang w:val="sv-SE"/>
              </w:rPr>
            </w:pPr>
            <w:r w:rsidRPr="0047424F">
              <w:rPr>
                <w:rFonts w:ascii="Calibri" w:eastAsia="Calibri" w:hAnsi="Calibri" w:cs="Calibri"/>
                <w:sz w:val="12"/>
                <w:szCs w:val="12"/>
                <w:lang w:val="sv-SE"/>
              </w:rPr>
              <w:t>2ms</w:t>
            </w:r>
          </w:p>
        </w:tc>
        <w:tc>
          <w:tcPr>
            <w:tcW w:w="437" w:type="dxa"/>
            <w:tcBorders>
              <w:top w:val="nil"/>
              <w:left w:val="nil"/>
              <w:bottom w:val="single" w:sz="8" w:space="0" w:color="4472C4"/>
              <w:right w:val="single" w:sz="8" w:space="0" w:color="auto"/>
            </w:tcBorders>
            <w:tcMar>
              <w:top w:w="0" w:type="dxa"/>
              <w:left w:w="108" w:type="dxa"/>
              <w:bottom w:w="0" w:type="dxa"/>
              <w:right w:w="108" w:type="dxa"/>
            </w:tcMar>
          </w:tcPr>
          <w:p w14:paraId="44E5A638" w14:textId="77777777" w:rsidR="00752D0B" w:rsidRPr="0047424F" w:rsidRDefault="00752D0B" w:rsidP="00752D0B">
            <w:pPr>
              <w:jc w:val="center"/>
              <w:rPr>
                <w:rFonts w:ascii="Calibri" w:eastAsia="Calibri" w:hAnsi="Calibri" w:cs="Calibri"/>
                <w:sz w:val="12"/>
                <w:szCs w:val="12"/>
                <w:lang w:val="sv-SE"/>
              </w:rPr>
            </w:pPr>
          </w:p>
        </w:tc>
        <w:tc>
          <w:tcPr>
            <w:tcW w:w="447" w:type="dxa"/>
            <w:tcBorders>
              <w:top w:val="nil"/>
              <w:left w:val="nil"/>
              <w:bottom w:val="single" w:sz="8" w:space="0" w:color="4472C4"/>
              <w:right w:val="single" w:sz="8" w:space="0" w:color="auto"/>
            </w:tcBorders>
            <w:tcMar>
              <w:top w:w="0" w:type="dxa"/>
              <w:left w:w="108" w:type="dxa"/>
              <w:bottom w:w="0" w:type="dxa"/>
              <w:right w:w="108" w:type="dxa"/>
            </w:tcMar>
          </w:tcPr>
          <w:p w14:paraId="392679E7" w14:textId="77777777" w:rsidR="00752D0B" w:rsidRPr="0047424F" w:rsidRDefault="00752D0B" w:rsidP="00752D0B">
            <w:pPr>
              <w:jc w:val="center"/>
              <w:rPr>
                <w:rFonts w:ascii="Calibri" w:eastAsia="Calibri" w:hAnsi="Calibri" w:cs="Calibri"/>
                <w:sz w:val="12"/>
                <w:szCs w:val="12"/>
                <w:lang w:val="sv-SE"/>
              </w:rPr>
            </w:pPr>
          </w:p>
        </w:tc>
        <w:tc>
          <w:tcPr>
            <w:tcW w:w="425" w:type="dxa"/>
            <w:tcBorders>
              <w:top w:val="nil"/>
              <w:left w:val="nil"/>
              <w:bottom w:val="single" w:sz="8" w:space="0" w:color="4472C4"/>
              <w:right w:val="single" w:sz="8" w:space="0" w:color="auto"/>
            </w:tcBorders>
            <w:tcMar>
              <w:top w:w="0" w:type="dxa"/>
              <w:left w:w="108" w:type="dxa"/>
              <w:bottom w:w="0" w:type="dxa"/>
              <w:right w:w="108" w:type="dxa"/>
            </w:tcMar>
          </w:tcPr>
          <w:p w14:paraId="141F584E" w14:textId="77777777" w:rsidR="00752D0B" w:rsidRPr="0047424F" w:rsidRDefault="00752D0B" w:rsidP="00752D0B">
            <w:pPr>
              <w:jc w:val="center"/>
              <w:rPr>
                <w:rFonts w:ascii="Calibri" w:eastAsia="Calibri" w:hAnsi="Calibri" w:cs="Calibri"/>
                <w:sz w:val="12"/>
                <w:szCs w:val="12"/>
                <w:lang w:val="sv-SE"/>
              </w:rPr>
            </w:pPr>
          </w:p>
        </w:tc>
        <w:tc>
          <w:tcPr>
            <w:tcW w:w="426" w:type="dxa"/>
            <w:tcBorders>
              <w:top w:val="nil"/>
              <w:left w:val="nil"/>
              <w:bottom w:val="single" w:sz="8" w:space="0" w:color="4472C4"/>
              <w:right w:val="single" w:sz="8" w:space="0" w:color="auto"/>
            </w:tcBorders>
            <w:tcMar>
              <w:top w:w="0" w:type="dxa"/>
              <w:left w:w="108" w:type="dxa"/>
              <w:bottom w:w="0" w:type="dxa"/>
              <w:right w:w="108" w:type="dxa"/>
            </w:tcMar>
          </w:tcPr>
          <w:p w14:paraId="118B6375" w14:textId="77777777" w:rsidR="00752D0B" w:rsidRPr="0047424F" w:rsidRDefault="00752D0B" w:rsidP="00752D0B">
            <w:pPr>
              <w:jc w:val="center"/>
              <w:rPr>
                <w:rFonts w:ascii="Calibri" w:eastAsia="Calibri" w:hAnsi="Calibri" w:cs="Calibri"/>
                <w:sz w:val="12"/>
                <w:szCs w:val="12"/>
                <w:lang w:val="sv-SE"/>
              </w:rPr>
            </w:pPr>
          </w:p>
        </w:tc>
        <w:tc>
          <w:tcPr>
            <w:tcW w:w="426" w:type="dxa"/>
            <w:tcBorders>
              <w:top w:val="nil"/>
              <w:left w:val="nil"/>
              <w:bottom w:val="single" w:sz="8" w:space="0" w:color="4472C4"/>
              <w:right w:val="single" w:sz="8" w:space="0" w:color="auto"/>
            </w:tcBorders>
            <w:tcMar>
              <w:top w:w="0" w:type="dxa"/>
              <w:left w:w="108" w:type="dxa"/>
              <w:bottom w:w="0" w:type="dxa"/>
              <w:right w:w="108" w:type="dxa"/>
            </w:tcMar>
          </w:tcPr>
          <w:p w14:paraId="2B733F0B" w14:textId="77777777" w:rsidR="00752D0B" w:rsidRPr="0047424F" w:rsidRDefault="00752D0B" w:rsidP="00752D0B">
            <w:pPr>
              <w:jc w:val="center"/>
              <w:rPr>
                <w:rFonts w:ascii="Calibri" w:eastAsia="Calibri" w:hAnsi="Calibri" w:cs="Calibri"/>
                <w:sz w:val="12"/>
                <w:szCs w:val="12"/>
                <w:lang w:val="sv-SE"/>
              </w:rPr>
            </w:pPr>
          </w:p>
        </w:tc>
        <w:tc>
          <w:tcPr>
            <w:tcW w:w="1275" w:type="dxa"/>
            <w:tcBorders>
              <w:top w:val="nil"/>
              <w:left w:val="nil"/>
              <w:bottom w:val="single" w:sz="8" w:space="0" w:color="4472C4"/>
              <w:right w:val="single" w:sz="8" w:space="0" w:color="auto"/>
            </w:tcBorders>
            <w:tcMar>
              <w:top w:w="0" w:type="dxa"/>
              <w:left w:w="108" w:type="dxa"/>
              <w:bottom w:w="0" w:type="dxa"/>
              <w:right w:w="108" w:type="dxa"/>
            </w:tcMar>
          </w:tcPr>
          <w:p w14:paraId="7F466408" w14:textId="77777777" w:rsidR="00752D0B" w:rsidRPr="0047424F" w:rsidRDefault="00752D0B" w:rsidP="00752D0B">
            <w:pPr>
              <w:jc w:val="center"/>
              <w:rPr>
                <w:rFonts w:ascii="Calibri" w:eastAsia="Calibri" w:hAnsi="Calibri" w:cs="Calibri"/>
                <w:sz w:val="12"/>
                <w:szCs w:val="12"/>
                <w:lang w:val="sv-SE"/>
              </w:rPr>
            </w:pPr>
          </w:p>
        </w:tc>
        <w:tc>
          <w:tcPr>
            <w:tcW w:w="1560" w:type="dxa"/>
            <w:tcBorders>
              <w:top w:val="nil"/>
              <w:left w:val="nil"/>
              <w:bottom w:val="single" w:sz="8" w:space="0" w:color="4472C4"/>
              <w:right w:val="single" w:sz="8" w:space="0" w:color="auto"/>
            </w:tcBorders>
            <w:tcMar>
              <w:top w:w="0" w:type="dxa"/>
              <w:left w:w="108" w:type="dxa"/>
              <w:bottom w:w="0" w:type="dxa"/>
              <w:right w:w="108" w:type="dxa"/>
            </w:tcMar>
          </w:tcPr>
          <w:p w14:paraId="4A787B58" w14:textId="77777777" w:rsidR="00752D0B" w:rsidRPr="0047424F" w:rsidRDefault="00752D0B" w:rsidP="00752D0B">
            <w:pPr>
              <w:jc w:val="center"/>
              <w:rPr>
                <w:rFonts w:ascii="Calibri" w:eastAsia="Calibri" w:hAnsi="Calibri" w:cs="Calibri"/>
                <w:sz w:val="12"/>
                <w:szCs w:val="12"/>
                <w:lang w:val="sv-SE"/>
              </w:rPr>
            </w:pPr>
          </w:p>
        </w:tc>
        <w:tc>
          <w:tcPr>
            <w:tcW w:w="425" w:type="dxa"/>
            <w:tcBorders>
              <w:top w:val="single" w:sz="8" w:space="0" w:color="auto"/>
              <w:left w:val="single" w:sz="8" w:space="0" w:color="auto"/>
              <w:bottom w:val="single" w:sz="8" w:space="0" w:color="auto"/>
              <w:right w:val="single" w:sz="8" w:space="0" w:color="auto"/>
            </w:tcBorders>
          </w:tcPr>
          <w:p w14:paraId="235A862E" w14:textId="77777777" w:rsidR="00752D0B" w:rsidRPr="0047424F" w:rsidRDefault="00752D0B" w:rsidP="00752D0B">
            <w:pPr>
              <w:jc w:val="center"/>
              <w:rPr>
                <w:rFonts w:ascii="Calibri" w:eastAsia="Calibri" w:hAnsi="Calibri" w:cs="Calibri"/>
                <w:sz w:val="12"/>
                <w:szCs w:val="12"/>
                <w:lang w:val="sv-SE"/>
              </w:rPr>
            </w:pPr>
          </w:p>
        </w:tc>
      </w:tr>
      <w:tr w:rsidR="00752D0B" w:rsidRPr="0047424F" w14:paraId="4C10F01E" w14:textId="7484AC54" w:rsidTr="00752D0B">
        <w:trPr>
          <w:trHeight w:val="250"/>
        </w:trPr>
        <w:tc>
          <w:tcPr>
            <w:tcW w:w="1243" w:type="dxa"/>
            <w:vMerge/>
            <w:tcBorders>
              <w:top w:val="nil"/>
              <w:left w:val="single" w:sz="8" w:space="0" w:color="auto"/>
              <w:bottom w:val="single" w:sz="8" w:space="0" w:color="4472C4"/>
              <w:right w:val="single" w:sz="8" w:space="0" w:color="auto"/>
            </w:tcBorders>
            <w:tcMar>
              <w:top w:w="0" w:type="dxa"/>
              <w:left w:w="108" w:type="dxa"/>
              <w:bottom w:w="0" w:type="dxa"/>
              <w:right w:w="108" w:type="dxa"/>
            </w:tcMar>
          </w:tcPr>
          <w:p w14:paraId="033C04E8" w14:textId="77777777" w:rsidR="00752D0B" w:rsidRPr="0047424F" w:rsidRDefault="00752D0B" w:rsidP="004D7CD6">
            <w:pPr>
              <w:rPr>
                <w:rFonts w:ascii="Calibri" w:eastAsia="Calibri" w:hAnsi="Calibri" w:cs="Calibri"/>
                <w:sz w:val="12"/>
                <w:szCs w:val="12"/>
              </w:rPr>
            </w:pPr>
          </w:p>
        </w:tc>
        <w:tc>
          <w:tcPr>
            <w:tcW w:w="1236" w:type="dxa"/>
            <w:tcBorders>
              <w:top w:val="nil"/>
              <w:left w:val="nil"/>
              <w:bottom w:val="single" w:sz="8" w:space="0" w:color="4472C4"/>
              <w:right w:val="single" w:sz="8" w:space="0" w:color="auto"/>
            </w:tcBorders>
          </w:tcPr>
          <w:p w14:paraId="3094DC40" w14:textId="35082888" w:rsidR="00752D0B" w:rsidRPr="0047424F" w:rsidRDefault="00752D0B" w:rsidP="004D7CD6">
            <w:pPr>
              <w:rPr>
                <w:rFonts w:ascii="Calibri" w:eastAsia="Calibri" w:hAnsi="Calibri" w:cs="Calibri"/>
                <w:sz w:val="12"/>
                <w:szCs w:val="12"/>
              </w:rPr>
            </w:pPr>
            <w:r w:rsidRPr="0047424F">
              <w:rPr>
                <w:rFonts w:ascii="Calibri" w:eastAsia="Calibri" w:hAnsi="Calibri" w:cs="Calibri"/>
                <w:sz w:val="12"/>
                <w:szCs w:val="12"/>
              </w:rPr>
              <w:t>PDSCH to PUCCH delay</w:t>
            </w:r>
          </w:p>
        </w:tc>
        <w:tc>
          <w:tcPr>
            <w:tcW w:w="430" w:type="dxa"/>
            <w:tcBorders>
              <w:top w:val="nil"/>
              <w:left w:val="nil"/>
              <w:bottom w:val="single" w:sz="8" w:space="0" w:color="4472C4"/>
              <w:right w:val="single" w:sz="8" w:space="0" w:color="auto"/>
            </w:tcBorders>
            <w:tcMar>
              <w:top w:w="0" w:type="dxa"/>
              <w:left w:w="108" w:type="dxa"/>
              <w:bottom w:w="0" w:type="dxa"/>
              <w:right w:w="108" w:type="dxa"/>
            </w:tcMar>
          </w:tcPr>
          <w:p w14:paraId="59D24C4B" w14:textId="77777777" w:rsidR="00752D0B" w:rsidRPr="0047424F" w:rsidRDefault="00752D0B" w:rsidP="00752D0B">
            <w:pPr>
              <w:jc w:val="center"/>
              <w:rPr>
                <w:rFonts w:ascii="Calibri" w:eastAsia="Calibri" w:hAnsi="Calibri" w:cs="Calibri"/>
                <w:sz w:val="12"/>
                <w:szCs w:val="12"/>
                <w:lang w:val="sv-SE"/>
              </w:rPr>
            </w:pPr>
          </w:p>
        </w:tc>
        <w:tc>
          <w:tcPr>
            <w:tcW w:w="449" w:type="dxa"/>
            <w:tcBorders>
              <w:top w:val="nil"/>
              <w:left w:val="nil"/>
              <w:bottom w:val="single" w:sz="8" w:space="0" w:color="4472C4"/>
              <w:right w:val="single" w:sz="8" w:space="0" w:color="auto"/>
            </w:tcBorders>
            <w:tcMar>
              <w:top w:w="0" w:type="dxa"/>
              <w:left w:w="108" w:type="dxa"/>
              <w:bottom w:w="0" w:type="dxa"/>
              <w:right w:w="108" w:type="dxa"/>
            </w:tcMar>
          </w:tcPr>
          <w:p w14:paraId="024B3124" w14:textId="77777777" w:rsidR="00752D0B" w:rsidRPr="0047424F" w:rsidRDefault="00752D0B" w:rsidP="00752D0B">
            <w:pPr>
              <w:jc w:val="center"/>
              <w:rPr>
                <w:rFonts w:ascii="Calibri" w:eastAsia="Calibri" w:hAnsi="Calibri" w:cs="Calibri"/>
                <w:sz w:val="12"/>
                <w:szCs w:val="12"/>
                <w:lang w:val="sv-SE"/>
              </w:rPr>
            </w:pPr>
          </w:p>
        </w:tc>
        <w:tc>
          <w:tcPr>
            <w:tcW w:w="437" w:type="dxa"/>
            <w:tcBorders>
              <w:top w:val="nil"/>
              <w:left w:val="nil"/>
              <w:bottom w:val="single" w:sz="8" w:space="0" w:color="4472C4"/>
              <w:right w:val="single" w:sz="8" w:space="0" w:color="auto"/>
            </w:tcBorders>
          </w:tcPr>
          <w:p w14:paraId="73C5B704" w14:textId="57F23795" w:rsidR="00752D0B" w:rsidRPr="0047424F" w:rsidRDefault="00752D0B" w:rsidP="00752D0B">
            <w:pPr>
              <w:jc w:val="center"/>
              <w:rPr>
                <w:rFonts w:ascii="Calibri" w:eastAsia="Calibri" w:hAnsi="Calibri" w:cs="Calibri"/>
                <w:sz w:val="12"/>
                <w:szCs w:val="12"/>
                <w:lang w:val="sv-SE"/>
              </w:rPr>
            </w:pPr>
          </w:p>
        </w:tc>
        <w:tc>
          <w:tcPr>
            <w:tcW w:w="1298" w:type="dxa"/>
            <w:gridSpan w:val="3"/>
            <w:tcBorders>
              <w:top w:val="nil"/>
              <w:left w:val="nil"/>
              <w:bottom w:val="single" w:sz="8" w:space="0" w:color="4472C4"/>
              <w:right w:val="single" w:sz="8" w:space="0" w:color="auto"/>
            </w:tcBorders>
            <w:tcMar>
              <w:top w:w="0" w:type="dxa"/>
              <w:left w:w="108" w:type="dxa"/>
              <w:bottom w:w="0" w:type="dxa"/>
              <w:right w:w="108" w:type="dxa"/>
            </w:tcMar>
          </w:tcPr>
          <w:p w14:paraId="6146F3B8" w14:textId="1F4FD8CE" w:rsidR="00752D0B" w:rsidRPr="00341BBC" w:rsidRDefault="00091734" w:rsidP="00752D0B">
            <w:pPr>
              <w:jc w:val="center"/>
              <w:rPr>
                <w:rFonts w:ascii="Calibri" w:eastAsia="Calibri" w:hAnsi="Calibri" w:cs="Calibri"/>
                <w:sz w:val="12"/>
                <w:szCs w:val="12"/>
                <w:lang w:val="en-US"/>
              </w:rPr>
            </w:pPr>
            <w:r w:rsidRPr="00341BBC">
              <w:rPr>
                <w:rFonts w:ascii="Calibri" w:eastAsia="Calibri" w:hAnsi="Calibri" w:cs="Calibri"/>
                <w:sz w:val="12"/>
                <w:szCs w:val="12"/>
                <w:lang w:val="en-US"/>
              </w:rPr>
              <w:t>3</w:t>
            </w:r>
            <w:r w:rsidR="00752D0B" w:rsidRPr="00341BBC">
              <w:rPr>
                <w:rFonts w:ascii="Calibri" w:eastAsia="Calibri" w:hAnsi="Calibri" w:cs="Calibri"/>
                <w:sz w:val="12"/>
                <w:szCs w:val="12"/>
                <w:lang w:val="en-US"/>
              </w:rPr>
              <w:t>ms</w:t>
            </w:r>
          </w:p>
          <w:p w14:paraId="47DF776F" w14:textId="15BDA352" w:rsidR="00A84E0A" w:rsidRPr="00341BBC" w:rsidRDefault="00A84E0A" w:rsidP="00752D0B">
            <w:pPr>
              <w:jc w:val="center"/>
              <w:rPr>
                <w:rFonts w:ascii="Calibri" w:eastAsia="Calibri" w:hAnsi="Calibri" w:cs="Calibri"/>
                <w:sz w:val="12"/>
                <w:szCs w:val="12"/>
                <w:lang w:val="en-US"/>
              </w:rPr>
            </w:pPr>
            <w:r w:rsidRPr="00341BBC">
              <w:rPr>
                <w:rFonts w:ascii="Calibri" w:eastAsia="Calibri" w:hAnsi="Calibri" w:cs="Calibri"/>
                <w:sz w:val="12"/>
                <w:szCs w:val="12"/>
                <w:lang w:val="en-US"/>
              </w:rPr>
              <w:t>(Includes PDSCH decoding time)</w:t>
            </w:r>
          </w:p>
        </w:tc>
        <w:tc>
          <w:tcPr>
            <w:tcW w:w="426" w:type="dxa"/>
            <w:tcBorders>
              <w:top w:val="nil"/>
              <w:left w:val="nil"/>
              <w:bottom w:val="single" w:sz="8" w:space="0" w:color="4472C4"/>
              <w:right w:val="single" w:sz="8" w:space="0" w:color="auto"/>
            </w:tcBorders>
            <w:tcMar>
              <w:top w:w="0" w:type="dxa"/>
              <w:left w:w="108" w:type="dxa"/>
              <w:bottom w:w="0" w:type="dxa"/>
              <w:right w:w="108" w:type="dxa"/>
            </w:tcMar>
          </w:tcPr>
          <w:p w14:paraId="62F5AD92" w14:textId="77777777" w:rsidR="00752D0B" w:rsidRPr="00341BBC" w:rsidRDefault="00752D0B" w:rsidP="00752D0B">
            <w:pPr>
              <w:jc w:val="center"/>
              <w:rPr>
                <w:rFonts w:ascii="Calibri" w:eastAsia="Calibri" w:hAnsi="Calibri" w:cs="Calibri"/>
                <w:sz w:val="12"/>
                <w:szCs w:val="12"/>
                <w:lang w:val="en-US"/>
              </w:rPr>
            </w:pPr>
          </w:p>
        </w:tc>
        <w:tc>
          <w:tcPr>
            <w:tcW w:w="1275" w:type="dxa"/>
            <w:tcBorders>
              <w:top w:val="nil"/>
              <w:left w:val="nil"/>
              <w:bottom w:val="single" w:sz="8" w:space="0" w:color="4472C4"/>
              <w:right w:val="single" w:sz="8" w:space="0" w:color="auto"/>
            </w:tcBorders>
            <w:tcMar>
              <w:top w:w="0" w:type="dxa"/>
              <w:left w:w="108" w:type="dxa"/>
              <w:bottom w:w="0" w:type="dxa"/>
              <w:right w:w="108" w:type="dxa"/>
            </w:tcMar>
          </w:tcPr>
          <w:p w14:paraId="0610A87D" w14:textId="77777777" w:rsidR="00752D0B" w:rsidRPr="00341BBC" w:rsidRDefault="00752D0B" w:rsidP="00752D0B">
            <w:pPr>
              <w:jc w:val="center"/>
              <w:rPr>
                <w:rFonts w:ascii="Calibri" w:eastAsia="Calibri" w:hAnsi="Calibri" w:cs="Calibri"/>
                <w:sz w:val="12"/>
                <w:szCs w:val="12"/>
                <w:lang w:val="en-US"/>
              </w:rPr>
            </w:pPr>
          </w:p>
        </w:tc>
        <w:tc>
          <w:tcPr>
            <w:tcW w:w="1560" w:type="dxa"/>
            <w:tcBorders>
              <w:top w:val="nil"/>
              <w:left w:val="nil"/>
              <w:bottom w:val="single" w:sz="8" w:space="0" w:color="4472C4"/>
              <w:right w:val="single" w:sz="8" w:space="0" w:color="auto"/>
            </w:tcBorders>
            <w:tcMar>
              <w:top w:w="0" w:type="dxa"/>
              <w:left w:w="108" w:type="dxa"/>
              <w:bottom w:w="0" w:type="dxa"/>
              <w:right w:w="108" w:type="dxa"/>
            </w:tcMar>
          </w:tcPr>
          <w:p w14:paraId="481C6CD8" w14:textId="77777777" w:rsidR="00752D0B" w:rsidRPr="00341BBC" w:rsidRDefault="00752D0B" w:rsidP="00752D0B">
            <w:pPr>
              <w:jc w:val="center"/>
              <w:rPr>
                <w:rFonts w:ascii="Calibri" w:eastAsia="Calibri" w:hAnsi="Calibri" w:cs="Calibri"/>
                <w:sz w:val="12"/>
                <w:szCs w:val="12"/>
                <w:lang w:val="en-US"/>
              </w:rPr>
            </w:pPr>
          </w:p>
        </w:tc>
        <w:tc>
          <w:tcPr>
            <w:tcW w:w="425" w:type="dxa"/>
            <w:tcBorders>
              <w:top w:val="single" w:sz="8" w:space="0" w:color="auto"/>
              <w:left w:val="single" w:sz="8" w:space="0" w:color="auto"/>
              <w:bottom w:val="single" w:sz="8" w:space="0" w:color="auto"/>
              <w:right w:val="single" w:sz="8" w:space="0" w:color="auto"/>
            </w:tcBorders>
          </w:tcPr>
          <w:p w14:paraId="20D3F63F" w14:textId="77777777" w:rsidR="00752D0B" w:rsidRPr="00341BBC" w:rsidRDefault="00752D0B" w:rsidP="00752D0B">
            <w:pPr>
              <w:jc w:val="center"/>
              <w:rPr>
                <w:rFonts w:ascii="Calibri" w:eastAsia="Calibri" w:hAnsi="Calibri" w:cs="Calibri"/>
                <w:sz w:val="12"/>
                <w:szCs w:val="12"/>
                <w:lang w:val="en-US"/>
              </w:rPr>
            </w:pPr>
          </w:p>
        </w:tc>
      </w:tr>
      <w:tr w:rsidR="00752D0B" w:rsidRPr="0047424F" w14:paraId="6481E62C" w14:textId="77777777" w:rsidTr="00752D0B">
        <w:trPr>
          <w:trHeight w:val="327"/>
        </w:trPr>
        <w:tc>
          <w:tcPr>
            <w:tcW w:w="1243" w:type="dxa"/>
            <w:vMerge/>
            <w:tcBorders>
              <w:top w:val="nil"/>
              <w:left w:val="single" w:sz="8" w:space="0" w:color="auto"/>
              <w:bottom w:val="single" w:sz="8" w:space="0" w:color="4472C4"/>
              <w:right w:val="single" w:sz="8" w:space="0" w:color="auto"/>
            </w:tcBorders>
            <w:vAlign w:val="center"/>
            <w:hideMark/>
          </w:tcPr>
          <w:p w14:paraId="58379465" w14:textId="77777777" w:rsidR="00752D0B" w:rsidRPr="0047424F" w:rsidRDefault="00752D0B" w:rsidP="004D7CD6">
            <w:pPr>
              <w:rPr>
                <w:rFonts w:ascii="Calibri" w:eastAsia="Calibri" w:hAnsi="Calibri" w:cs="Calibri"/>
                <w:sz w:val="12"/>
                <w:szCs w:val="12"/>
              </w:rPr>
            </w:pPr>
          </w:p>
        </w:tc>
        <w:tc>
          <w:tcPr>
            <w:tcW w:w="1236" w:type="dxa"/>
            <w:tcBorders>
              <w:top w:val="nil"/>
              <w:left w:val="nil"/>
              <w:bottom w:val="single" w:sz="8" w:space="0" w:color="4472C4"/>
              <w:right w:val="single" w:sz="8" w:space="0" w:color="auto"/>
            </w:tcBorders>
            <w:hideMark/>
          </w:tcPr>
          <w:p w14:paraId="6744C7CC" w14:textId="77777777" w:rsidR="00752D0B" w:rsidRPr="002C416D" w:rsidRDefault="00752D0B" w:rsidP="004D7CD6">
            <w:pPr>
              <w:rPr>
                <w:rFonts w:ascii="Calibri" w:eastAsia="Calibri" w:hAnsi="Calibri" w:cs="Calibri"/>
                <w:color w:val="FF0000"/>
                <w:sz w:val="12"/>
                <w:szCs w:val="12"/>
              </w:rPr>
            </w:pPr>
            <w:r w:rsidRPr="002C416D">
              <w:rPr>
                <w:rFonts w:ascii="Calibri" w:eastAsia="Calibri" w:hAnsi="Calibri" w:cs="Calibri"/>
                <w:color w:val="FF0000"/>
                <w:sz w:val="12"/>
                <w:szCs w:val="12"/>
              </w:rPr>
              <w:t>Propagation delay in UL direction</w:t>
            </w:r>
          </w:p>
        </w:tc>
        <w:tc>
          <w:tcPr>
            <w:tcW w:w="430" w:type="dxa"/>
            <w:tcBorders>
              <w:top w:val="nil"/>
              <w:left w:val="nil"/>
              <w:bottom w:val="single" w:sz="8" w:space="0" w:color="4472C4"/>
              <w:right w:val="single" w:sz="8" w:space="0" w:color="auto"/>
            </w:tcBorders>
            <w:tcMar>
              <w:top w:w="0" w:type="dxa"/>
              <w:left w:w="108" w:type="dxa"/>
              <w:bottom w:w="0" w:type="dxa"/>
              <w:right w:w="108" w:type="dxa"/>
            </w:tcMar>
          </w:tcPr>
          <w:p w14:paraId="54B1C688" w14:textId="77777777" w:rsidR="00752D0B" w:rsidRPr="0047424F" w:rsidRDefault="00752D0B" w:rsidP="004D7CD6">
            <w:pPr>
              <w:rPr>
                <w:rFonts w:ascii="Calibri" w:eastAsia="Calibri" w:hAnsi="Calibri" w:cs="Calibri"/>
                <w:sz w:val="12"/>
                <w:szCs w:val="12"/>
              </w:rPr>
            </w:pPr>
          </w:p>
        </w:tc>
        <w:tc>
          <w:tcPr>
            <w:tcW w:w="449" w:type="dxa"/>
            <w:tcBorders>
              <w:top w:val="nil"/>
              <w:left w:val="nil"/>
              <w:bottom w:val="single" w:sz="8" w:space="0" w:color="4472C4"/>
              <w:right w:val="single" w:sz="8" w:space="0" w:color="auto"/>
            </w:tcBorders>
            <w:tcMar>
              <w:top w:w="0" w:type="dxa"/>
              <w:left w:w="108" w:type="dxa"/>
              <w:bottom w:w="0" w:type="dxa"/>
              <w:right w:w="108" w:type="dxa"/>
            </w:tcMar>
          </w:tcPr>
          <w:p w14:paraId="431A3F0D" w14:textId="77777777" w:rsidR="00752D0B" w:rsidRPr="0047424F" w:rsidRDefault="00752D0B" w:rsidP="004D7CD6">
            <w:pPr>
              <w:rPr>
                <w:rFonts w:ascii="Calibri" w:eastAsia="Calibri" w:hAnsi="Calibri" w:cs="Calibri"/>
                <w:sz w:val="12"/>
                <w:szCs w:val="12"/>
              </w:rPr>
            </w:pPr>
          </w:p>
        </w:tc>
        <w:tc>
          <w:tcPr>
            <w:tcW w:w="437" w:type="dxa"/>
            <w:tcBorders>
              <w:top w:val="nil"/>
              <w:left w:val="nil"/>
              <w:bottom w:val="single" w:sz="8" w:space="0" w:color="4472C4"/>
              <w:right w:val="single" w:sz="8" w:space="0" w:color="auto"/>
            </w:tcBorders>
            <w:tcMar>
              <w:top w:w="0" w:type="dxa"/>
              <w:left w:w="108" w:type="dxa"/>
              <w:bottom w:w="0" w:type="dxa"/>
              <w:right w:w="108" w:type="dxa"/>
            </w:tcMar>
          </w:tcPr>
          <w:p w14:paraId="60F1A1EC" w14:textId="77777777" w:rsidR="00752D0B" w:rsidRPr="0047424F" w:rsidRDefault="00752D0B" w:rsidP="004D7CD6">
            <w:pPr>
              <w:rPr>
                <w:rFonts w:ascii="Calibri" w:eastAsia="Calibri" w:hAnsi="Calibri" w:cs="Calibri"/>
                <w:sz w:val="12"/>
                <w:szCs w:val="12"/>
              </w:rPr>
            </w:pPr>
          </w:p>
        </w:tc>
        <w:tc>
          <w:tcPr>
            <w:tcW w:w="447" w:type="dxa"/>
            <w:tcBorders>
              <w:top w:val="nil"/>
              <w:left w:val="nil"/>
              <w:bottom w:val="single" w:sz="8" w:space="0" w:color="4472C4"/>
              <w:right w:val="single" w:sz="8" w:space="0" w:color="auto"/>
            </w:tcBorders>
            <w:tcMar>
              <w:top w:w="0" w:type="dxa"/>
              <w:left w:w="108" w:type="dxa"/>
              <w:bottom w:w="0" w:type="dxa"/>
              <w:right w:w="108" w:type="dxa"/>
            </w:tcMar>
          </w:tcPr>
          <w:p w14:paraId="30DDD086" w14:textId="77777777" w:rsidR="00752D0B" w:rsidRPr="0047424F" w:rsidRDefault="00752D0B" w:rsidP="004D7CD6">
            <w:pPr>
              <w:rPr>
                <w:rFonts w:ascii="Calibri" w:eastAsia="Calibri" w:hAnsi="Calibri" w:cs="Calibri"/>
                <w:sz w:val="12"/>
                <w:szCs w:val="12"/>
              </w:rPr>
            </w:pPr>
          </w:p>
        </w:tc>
        <w:tc>
          <w:tcPr>
            <w:tcW w:w="425" w:type="dxa"/>
            <w:tcBorders>
              <w:top w:val="nil"/>
              <w:left w:val="nil"/>
              <w:bottom w:val="single" w:sz="8" w:space="0" w:color="4472C4"/>
              <w:right w:val="single" w:sz="8" w:space="0" w:color="auto"/>
            </w:tcBorders>
            <w:tcMar>
              <w:top w:w="0" w:type="dxa"/>
              <w:left w:w="108" w:type="dxa"/>
              <w:bottom w:w="0" w:type="dxa"/>
              <w:right w:w="108" w:type="dxa"/>
            </w:tcMar>
          </w:tcPr>
          <w:p w14:paraId="48956CD6" w14:textId="77777777" w:rsidR="00752D0B" w:rsidRPr="0047424F" w:rsidRDefault="00752D0B" w:rsidP="004D7CD6">
            <w:pPr>
              <w:rPr>
                <w:rFonts w:ascii="Calibri" w:eastAsia="Calibri" w:hAnsi="Calibri" w:cs="Calibri"/>
                <w:sz w:val="12"/>
                <w:szCs w:val="12"/>
              </w:rPr>
            </w:pPr>
          </w:p>
        </w:tc>
        <w:tc>
          <w:tcPr>
            <w:tcW w:w="426" w:type="dxa"/>
            <w:tcBorders>
              <w:top w:val="nil"/>
              <w:left w:val="nil"/>
              <w:bottom w:val="single" w:sz="8" w:space="0" w:color="4472C4"/>
              <w:right w:val="single" w:sz="8" w:space="0" w:color="auto"/>
            </w:tcBorders>
            <w:tcMar>
              <w:top w:w="0" w:type="dxa"/>
              <w:left w:w="108" w:type="dxa"/>
              <w:bottom w:w="0" w:type="dxa"/>
              <w:right w:w="108" w:type="dxa"/>
            </w:tcMar>
          </w:tcPr>
          <w:p w14:paraId="277D2483" w14:textId="77777777" w:rsidR="00752D0B" w:rsidRPr="0047424F" w:rsidRDefault="00752D0B" w:rsidP="004D7CD6">
            <w:pPr>
              <w:rPr>
                <w:rFonts w:ascii="Calibri" w:eastAsia="Calibri" w:hAnsi="Calibri" w:cs="Calibri"/>
                <w:sz w:val="12"/>
                <w:szCs w:val="12"/>
              </w:rPr>
            </w:pPr>
          </w:p>
        </w:tc>
        <w:tc>
          <w:tcPr>
            <w:tcW w:w="426" w:type="dxa"/>
            <w:tcBorders>
              <w:top w:val="nil"/>
              <w:left w:val="nil"/>
              <w:bottom w:val="single" w:sz="8" w:space="0" w:color="4472C4"/>
              <w:right w:val="single" w:sz="8" w:space="0" w:color="auto"/>
            </w:tcBorders>
            <w:tcMar>
              <w:top w:w="0" w:type="dxa"/>
              <w:left w:w="108" w:type="dxa"/>
              <w:bottom w:w="0" w:type="dxa"/>
              <w:right w:w="108" w:type="dxa"/>
            </w:tcMar>
          </w:tcPr>
          <w:p w14:paraId="06EE761B" w14:textId="77777777" w:rsidR="00752D0B" w:rsidRPr="0047424F" w:rsidRDefault="00752D0B" w:rsidP="004D7CD6">
            <w:pPr>
              <w:rPr>
                <w:rFonts w:ascii="Calibri" w:eastAsia="Calibri" w:hAnsi="Calibri" w:cs="Calibri"/>
                <w:sz w:val="12"/>
                <w:szCs w:val="12"/>
              </w:rPr>
            </w:pPr>
          </w:p>
        </w:tc>
        <w:tc>
          <w:tcPr>
            <w:tcW w:w="1275" w:type="dxa"/>
            <w:tcBorders>
              <w:top w:val="nil"/>
              <w:left w:val="nil"/>
              <w:bottom w:val="single" w:sz="8" w:space="0" w:color="4472C4"/>
              <w:right w:val="single" w:sz="8" w:space="0" w:color="auto"/>
            </w:tcBorders>
            <w:tcMar>
              <w:top w:w="0" w:type="dxa"/>
              <w:left w:w="108" w:type="dxa"/>
              <w:bottom w:w="0" w:type="dxa"/>
              <w:right w:w="108" w:type="dxa"/>
            </w:tcMar>
          </w:tcPr>
          <w:p w14:paraId="42826002" w14:textId="77777777" w:rsidR="00752D0B" w:rsidRDefault="00752D0B" w:rsidP="004D7CD6">
            <w:pPr>
              <w:jc w:val="center"/>
              <w:rPr>
                <w:color w:val="FF0000"/>
                <w:sz w:val="12"/>
                <w:szCs w:val="12"/>
                <w:lang w:val="de-DE" w:eastAsia="en-US"/>
              </w:rPr>
            </w:pPr>
            <w:r>
              <w:rPr>
                <w:color w:val="FF0000"/>
                <w:sz w:val="12"/>
                <w:szCs w:val="12"/>
                <w:lang w:val="de-DE"/>
              </w:rPr>
              <w:t>Delay at min elevation/2 = 26ms/2 = 13ms</w:t>
            </w:r>
          </w:p>
          <w:p w14:paraId="0535AC59" w14:textId="77777777" w:rsidR="00752D0B" w:rsidRPr="0047424F" w:rsidRDefault="00752D0B" w:rsidP="004D7CD6">
            <w:pPr>
              <w:rPr>
                <w:rFonts w:ascii="Calibri" w:eastAsia="Calibri" w:hAnsi="Calibri" w:cs="Calibri"/>
                <w:sz w:val="12"/>
                <w:szCs w:val="12"/>
              </w:rPr>
            </w:pPr>
          </w:p>
        </w:tc>
        <w:tc>
          <w:tcPr>
            <w:tcW w:w="1560" w:type="dxa"/>
            <w:tcBorders>
              <w:top w:val="nil"/>
              <w:left w:val="nil"/>
              <w:bottom w:val="single" w:sz="8" w:space="0" w:color="4472C4"/>
              <w:right w:val="single" w:sz="8" w:space="0" w:color="auto"/>
            </w:tcBorders>
            <w:tcMar>
              <w:top w:w="0" w:type="dxa"/>
              <w:left w:w="108" w:type="dxa"/>
              <w:bottom w:w="0" w:type="dxa"/>
              <w:right w:w="108" w:type="dxa"/>
            </w:tcMar>
          </w:tcPr>
          <w:p w14:paraId="77219132" w14:textId="77777777" w:rsidR="00752D0B" w:rsidRPr="0047424F" w:rsidRDefault="00752D0B" w:rsidP="004D7CD6">
            <w:pPr>
              <w:rPr>
                <w:rFonts w:ascii="Calibri" w:eastAsia="Calibri" w:hAnsi="Calibri" w:cs="Calibri"/>
                <w:sz w:val="12"/>
                <w:szCs w:val="12"/>
              </w:rPr>
            </w:pPr>
          </w:p>
        </w:tc>
        <w:tc>
          <w:tcPr>
            <w:tcW w:w="425" w:type="dxa"/>
            <w:tcBorders>
              <w:top w:val="single" w:sz="8" w:space="0" w:color="auto"/>
              <w:left w:val="single" w:sz="8" w:space="0" w:color="auto"/>
              <w:bottom w:val="single" w:sz="8" w:space="0" w:color="auto"/>
              <w:right w:val="single" w:sz="8" w:space="0" w:color="auto"/>
            </w:tcBorders>
          </w:tcPr>
          <w:p w14:paraId="6091FEA4" w14:textId="77777777" w:rsidR="00752D0B" w:rsidRPr="0047424F" w:rsidRDefault="00752D0B" w:rsidP="004D7CD6">
            <w:pPr>
              <w:rPr>
                <w:rFonts w:ascii="Calibri" w:eastAsia="Calibri" w:hAnsi="Calibri" w:cs="Calibri"/>
                <w:sz w:val="12"/>
                <w:szCs w:val="12"/>
              </w:rPr>
            </w:pPr>
          </w:p>
        </w:tc>
      </w:tr>
      <w:tr w:rsidR="00752D0B" w:rsidRPr="0047424F" w14:paraId="7A9DCB1A" w14:textId="77777777" w:rsidTr="00752D0B">
        <w:trPr>
          <w:trHeight w:val="327"/>
        </w:trPr>
        <w:tc>
          <w:tcPr>
            <w:tcW w:w="1243" w:type="dxa"/>
            <w:vMerge/>
            <w:tcBorders>
              <w:top w:val="nil"/>
              <w:left w:val="single" w:sz="8" w:space="0" w:color="auto"/>
              <w:bottom w:val="single" w:sz="8" w:space="0" w:color="4472C4"/>
              <w:right w:val="single" w:sz="8" w:space="0" w:color="auto"/>
            </w:tcBorders>
            <w:vAlign w:val="center"/>
            <w:hideMark/>
          </w:tcPr>
          <w:p w14:paraId="66680AB9" w14:textId="77777777" w:rsidR="00752D0B" w:rsidRPr="0047424F" w:rsidRDefault="00752D0B" w:rsidP="004D7CD6">
            <w:pPr>
              <w:rPr>
                <w:rFonts w:ascii="Calibri" w:eastAsia="Calibri" w:hAnsi="Calibri" w:cs="Calibri"/>
                <w:sz w:val="12"/>
                <w:szCs w:val="12"/>
              </w:rPr>
            </w:pPr>
          </w:p>
        </w:tc>
        <w:tc>
          <w:tcPr>
            <w:tcW w:w="1236" w:type="dxa"/>
            <w:tcBorders>
              <w:top w:val="nil"/>
              <w:left w:val="nil"/>
              <w:bottom w:val="single" w:sz="8" w:space="0" w:color="4472C4"/>
              <w:right w:val="single" w:sz="8" w:space="0" w:color="auto"/>
            </w:tcBorders>
            <w:hideMark/>
          </w:tcPr>
          <w:p w14:paraId="4070508C" w14:textId="77777777" w:rsidR="00752D0B" w:rsidRPr="0047424F" w:rsidRDefault="00752D0B" w:rsidP="004D7CD6">
            <w:pPr>
              <w:rPr>
                <w:rFonts w:ascii="Calibri" w:eastAsia="Calibri" w:hAnsi="Calibri" w:cs="Calibri"/>
                <w:sz w:val="12"/>
                <w:szCs w:val="12"/>
              </w:rPr>
            </w:pPr>
            <w:r w:rsidRPr="002C416D">
              <w:rPr>
                <w:rFonts w:ascii="Calibri" w:eastAsia="Calibri" w:hAnsi="Calibri" w:cs="Calibri"/>
                <w:color w:val="FF0000"/>
                <w:sz w:val="12"/>
                <w:szCs w:val="12"/>
              </w:rPr>
              <w:t>Propagation delay in DL direction</w:t>
            </w:r>
          </w:p>
        </w:tc>
        <w:tc>
          <w:tcPr>
            <w:tcW w:w="430" w:type="dxa"/>
            <w:tcBorders>
              <w:top w:val="nil"/>
              <w:left w:val="nil"/>
              <w:bottom w:val="single" w:sz="8" w:space="0" w:color="4472C4"/>
              <w:right w:val="single" w:sz="8" w:space="0" w:color="auto"/>
            </w:tcBorders>
            <w:tcMar>
              <w:top w:w="0" w:type="dxa"/>
              <w:left w:w="108" w:type="dxa"/>
              <w:bottom w:w="0" w:type="dxa"/>
              <w:right w:w="108" w:type="dxa"/>
            </w:tcMar>
          </w:tcPr>
          <w:p w14:paraId="2FCECF92" w14:textId="77777777" w:rsidR="00752D0B" w:rsidRPr="0047424F" w:rsidRDefault="00752D0B" w:rsidP="004D7CD6">
            <w:pPr>
              <w:rPr>
                <w:rFonts w:ascii="Calibri" w:eastAsia="Calibri" w:hAnsi="Calibri" w:cs="Calibri"/>
                <w:sz w:val="12"/>
                <w:szCs w:val="12"/>
              </w:rPr>
            </w:pPr>
          </w:p>
        </w:tc>
        <w:tc>
          <w:tcPr>
            <w:tcW w:w="449" w:type="dxa"/>
            <w:tcBorders>
              <w:top w:val="nil"/>
              <w:left w:val="nil"/>
              <w:bottom w:val="single" w:sz="8" w:space="0" w:color="4472C4"/>
              <w:right w:val="single" w:sz="8" w:space="0" w:color="auto"/>
            </w:tcBorders>
            <w:tcMar>
              <w:top w:w="0" w:type="dxa"/>
              <w:left w:w="108" w:type="dxa"/>
              <w:bottom w:w="0" w:type="dxa"/>
              <w:right w:w="108" w:type="dxa"/>
            </w:tcMar>
          </w:tcPr>
          <w:p w14:paraId="2BFDDD2C" w14:textId="77777777" w:rsidR="00752D0B" w:rsidRPr="0047424F" w:rsidRDefault="00752D0B" w:rsidP="004D7CD6">
            <w:pPr>
              <w:rPr>
                <w:rFonts w:ascii="Calibri" w:eastAsia="Calibri" w:hAnsi="Calibri" w:cs="Calibri"/>
                <w:sz w:val="12"/>
                <w:szCs w:val="12"/>
              </w:rPr>
            </w:pPr>
          </w:p>
        </w:tc>
        <w:tc>
          <w:tcPr>
            <w:tcW w:w="437" w:type="dxa"/>
            <w:tcBorders>
              <w:top w:val="nil"/>
              <w:left w:val="nil"/>
              <w:bottom w:val="single" w:sz="8" w:space="0" w:color="4472C4"/>
              <w:right w:val="single" w:sz="8" w:space="0" w:color="auto"/>
            </w:tcBorders>
            <w:tcMar>
              <w:top w:w="0" w:type="dxa"/>
              <w:left w:w="108" w:type="dxa"/>
              <w:bottom w:w="0" w:type="dxa"/>
              <w:right w:w="108" w:type="dxa"/>
            </w:tcMar>
          </w:tcPr>
          <w:p w14:paraId="451A9F40" w14:textId="77777777" w:rsidR="00752D0B" w:rsidRPr="0047424F" w:rsidRDefault="00752D0B" w:rsidP="004D7CD6">
            <w:pPr>
              <w:rPr>
                <w:rFonts w:ascii="Calibri" w:eastAsia="Calibri" w:hAnsi="Calibri" w:cs="Calibri"/>
                <w:sz w:val="12"/>
                <w:szCs w:val="12"/>
              </w:rPr>
            </w:pPr>
          </w:p>
        </w:tc>
        <w:tc>
          <w:tcPr>
            <w:tcW w:w="447" w:type="dxa"/>
            <w:tcBorders>
              <w:top w:val="nil"/>
              <w:left w:val="nil"/>
              <w:bottom w:val="single" w:sz="8" w:space="0" w:color="4472C4"/>
              <w:right w:val="single" w:sz="8" w:space="0" w:color="auto"/>
            </w:tcBorders>
            <w:tcMar>
              <w:top w:w="0" w:type="dxa"/>
              <w:left w:w="108" w:type="dxa"/>
              <w:bottom w:w="0" w:type="dxa"/>
              <w:right w:w="108" w:type="dxa"/>
            </w:tcMar>
          </w:tcPr>
          <w:p w14:paraId="295C31EB" w14:textId="77777777" w:rsidR="00752D0B" w:rsidRPr="0047424F" w:rsidRDefault="00752D0B" w:rsidP="004D7CD6">
            <w:pPr>
              <w:rPr>
                <w:rFonts w:ascii="Calibri" w:eastAsia="Calibri" w:hAnsi="Calibri" w:cs="Calibri"/>
                <w:sz w:val="12"/>
                <w:szCs w:val="12"/>
              </w:rPr>
            </w:pPr>
          </w:p>
        </w:tc>
        <w:tc>
          <w:tcPr>
            <w:tcW w:w="425" w:type="dxa"/>
            <w:tcBorders>
              <w:top w:val="nil"/>
              <w:left w:val="nil"/>
              <w:bottom w:val="single" w:sz="8" w:space="0" w:color="4472C4"/>
              <w:right w:val="single" w:sz="8" w:space="0" w:color="auto"/>
            </w:tcBorders>
            <w:tcMar>
              <w:top w:w="0" w:type="dxa"/>
              <w:left w:w="108" w:type="dxa"/>
              <w:bottom w:w="0" w:type="dxa"/>
              <w:right w:w="108" w:type="dxa"/>
            </w:tcMar>
          </w:tcPr>
          <w:p w14:paraId="50F3CBC7" w14:textId="77777777" w:rsidR="00752D0B" w:rsidRPr="0047424F" w:rsidRDefault="00752D0B" w:rsidP="004D7CD6">
            <w:pPr>
              <w:rPr>
                <w:rFonts w:ascii="Calibri" w:eastAsia="Calibri" w:hAnsi="Calibri" w:cs="Calibri"/>
                <w:sz w:val="12"/>
                <w:szCs w:val="12"/>
              </w:rPr>
            </w:pPr>
          </w:p>
        </w:tc>
        <w:tc>
          <w:tcPr>
            <w:tcW w:w="426" w:type="dxa"/>
            <w:tcBorders>
              <w:top w:val="nil"/>
              <w:left w:val="nil"/>
              <w:bottom w:val="single" w:sz="8" w:space="0" w:color="4472C4"/>
              <w:right w:val="single" w:sz="8" w:space="0" w:color="auto"/>
            </w:tcBorders>
            <w:tcMar>
              <w:top w:w="0" w:type="dxa"/>
              <w:left w:w="108" w:type="dxa"/>
              <w:bottom w:w="0" w:type="dxa"/>
              <w:right w:w="108" w:type="dxa"/>
            </w:tcMar>
          </w:tcPr>
          <w:p w14:paraId="33DD6F1B" w14:textId="77777777" w:rsidR="00752D0B" w:rsidRPr="0047424F" w:rsidRDefault="00752D0B" w:rsidP="004D7CD6">
            <w:pPr>
              <w:rPr>
                <w:rFonts w:ascii="Calibri" w:eastAsia="Calibri" w:hAnsi="Calibri" w:cs="Calibri"/>
                <w:sz w:val="12"/>
                <w:szCs w:val="12"/>
              </w:rPr>
            </w:pPr>
          </w:p>
        </w:tc>
        <w:tc>
          <w:tcPr>
            <w:tcW w:w="426" w:type="dxa"/>
            <w:tcBorders>
              <w:top w:val="nil"/>
              <w:left w:val="nil"/>
              <w:bottom w:val="single" w:sz="8" w:space="0" w:color="4472C4"/>
              <w:right w:val="single" w:sz="8" w:space="0" w:color="auto"/>
            </w:tcBorders>
            <w:tcMar>
              <w:top w:w="0" w:type="dxa"/>
              <w:left w:w="108" w:type="dxa"/>
              <w:bottom w:w="0" w:type="dxa"/>
              <w:right w:w="108" w:type="dxa"/>
            </w:tcMar>
          </w:tcPr>
          <w:p w14:paraId="50FC222B" w14:textId="77777777" w:rsidR="00752D0B" w:rsidRPr="0047424F" w:rsidRDefault="00752D0B" w:rsidP="004D7CD6">
            <w:pPr>
              <w:rPr>
                <w:rFonts w:ascii="Calibri" w:eastAsia="Calibri" w:hAnsi="Calibri" w:cs="Calibri"/>
                <w:sz w:val="12"/>
                <w:szCs w:val="12"/>
              </w:rPr>
            </w:pPr>
          </w:p>
        </w:tc>
        <w:tc>
          <w:tcPr>
            <w:tcW w:w="1275" w:type="dxa"/>
            <w:tcBorders>
              <w:top w:val="nil"/>
              <w:left w:val="nil"/>
              <w:bottom w:val="single" w:sz="8" w:space="0" w:color="4472C4"/>
              <w:right w:val="single" w:sz="8" w:space="0" w:color="auto"/>
            </w:tcBorders>
            <w:tcMar>
              <w:top w:w="0" w:type="dxa"/>
              <w:left w:w="108" w:type="dxa"/>
              <w:bottom w:w="0" w:type="dxa"/>
              <w:right w:w="108" w:type="dxa"/>
            </w:tcMar>
          </w:tcPr>
          <w:p w14:paraId="73B7B0C5" w14:textId="77777777" w:rsidR="00752D0B" w:rsidRPr="0047424F" w:rsidRDefault="00752D0B" w:rsidP="004D7CD6">
            <w:pPr>
              <w:rPr>
                <w:rFonts w:ascii="Calibri" w:eastAsia="Calibri" w:hAnsi="Calibri" w:cs="Calibri"/>
                <w:sz w:val="12"/>
                <w:szCs w:val="12"/>
              </w:rPr>
            </w:pPr>
          </w:p>
        </w:tc>
        <w:tc>
          <w:tcPr>
            <w:tcW w:w="1560" w:type="dxa"/>
            <w:tcBorders>
              <w:top w:val="nil"/>
              <w:left w:val="nil"/>
              <w:bottom w:val="single" w:sz="8" w:space="0" w:color="4472C4"/>
              <w:right w:val="single" w:sz="8" w:space="0" w:color="auto"/>
            </w:tcBorders>
            <w:tcMar>
              <w:top w:w="0" w:type="dxa"/>
              <w:left w:w="108" w:type="dxa"/>
              <w:bottom w:w="0" w:type="dxa"/>
              <w:right w:w="108" w:type="dxa"/>
            </w:tcMar>
          </w:tcPr>
          <w:p w14:paraId="6DE075E6" w14:textId="77777777" w:rsidR="00752D0B" w:rsidRDefault="00752D0B" w:rsidP="004D7CD6">
            <w:pPr>
              <w:jc w:val="center"/>
              <w:rPr>
                <w:color w:val="FF0000"/>
                <w:sz w:val="12"/>
                <w:szCs w:val="12"/>
                <w:lang w:val="de-DE" w:eastAsia="en-US"/>
              </w:rPr>
            </w:pPr>
            <w:r>
              <w:rPr>
                <w:color w:val="FF0000"/>
                <w:sz w:val="12"/>
                <w:szCs w:val="12"/>
                <w:lang w:val="de-DE"/>
              </w:rPr>
              <w:t>Delay at min elevation/2 = 26ms/2 = 13ms</w:t>
            </w:r>
          </w:p>
          <w:p w14:paraId="69057E02" w14:textId="77777777" w:rsidR="00752D0B" w:rsidRPr="0047424F" w:rsidRDefault="00752D0B" w:rsidP="004D7CD6">
            <w:pPr>
              <w:rPr>
                <w:rFonts w:ascii="Calibri" w:eastAsia="Calibri" w:hAnsi="Calibri" w:cs="Calibri"/>
                <w:sz w:val="12"/>
                <w:szCs w:val="12"/>
              </w:rPr>
            </w:pPr>
          </w:p>
        </w:tc>
        <w:tc>
          <w:tcPr>
            <w:tcW w:w="425" w:type="dxa"/>
            <w:tcBorders>
              <w:top w:val="single" w:sz="8" w:space="0" w:color="auto"/>
              <w:left w:val="single" w:sz="8" w:space="0" w:color="auto"/>
              <w:bottom w:val="single" w:sz="8" w:space="0" w:color="auto"/>
              <w:right w:val="single" w:sz="8" w:space="0" w:color="auto"/>
            </w:tcBorders>
          </w:tcPr>
          <w:p w14:paraId="7F24E1B3" w14:textId="77777777" w:rsidR="00752D0B" w:rsidRPr="0047424F" w:rsidRDefault="00752D0B" w:rsidP="004D7CD6">
            <w:pPr>
              <w:rPr>
                <w:rFonts w:ascii="Calibri" w:eastAsia="Calibri" w:hAnsi="Calibri" w:cs="Calibri"/>
                <w:sz w:val="12"/>
                <w:szCs w:val="12"/>
              </w:rPr>
            </w:pPr>
          </w:p>
        </w:tc>
      </w:tr>
    </w:tbl>
    <w:p w14:paraId="3186D3B2" w14:textId="4663D597" w:rsidR="004D7CD6" w:rsidRDefault="004D7CD6" w:rsidP="003A5C83">
      <w:pPr>
        <w:pStyle w:val="Reference"/>
        <w:numPr>
          <w:ilvl w:val="0"/>
          <w:numId w:val="0"/>
        </w:numPr>
        <w:rPr>
          <w:rFonts w:ascii="Times New Roman" w:hAnsi="Times New Roman"/>
        </w:rPr>
      </w:pPr>
      <w:r>
        <w:rPr>
          <w:rFonts w:ascii="Times New Roman" w:hAnsi="Times New Roman"/>
        </w:rPr>
        <w:br w:type="textWrapping" w:clear="all"/>
      </w:r>
    </w:p>
    <w:p w14:paraId="0F81FD10" w14:textId="3656BE12" w:rsidR="007E5A61" w:rsidRDefault="007E5A61" w:rsidP="007E5A61">
      <w:pPr>
        <w:pStyle w:val="BodyText"/>
        <w:rPr>
          <w:rFonts w:ascii="Times New Roman" w:hAnsi="Times New Roman"/>
          <w:lang w:eastAsia="ja-JP"/>
        </w:rPr>
      </w:pPr>
      <w:r w:rsidRPr="007A209F">
        <w:rPr>
          <w:rFonts w:ascii="Times New Roman" w:hAnsi="Times New Roman"/>
          <w:lang w:eastAsia="ja-JP"/>
        </w:rPr>
        <w:t xml:space="preserve">In Table </w:t>
      </w:r>
      <w:r>
        <w:rPr>
          <w:rFonts w:ascii="Times New Roman" w:hAnsi="Times New Roman"/>
          <w:lang w:eastAsia="ja-JP"/>
        </w:rPr>
        <w:t>A</w:t>
      </w:r>
      <w:r w:rsidRPr="007A209F">
        <w:rPr>
          <w:rFonts w:ascii="Times New Roman" w:hAnsi="Times New Roman"/>
          <w:lang w:eastAsia="ja-JP"/>
        </w:rPr>
        <w:t>1</w:t>
      </w:r>
      <w:r w:rsidR="00091734">
        <w:rPr>
          <w:rFonts w:ascii="Times New Roman" w:hAnsi="Times New Roman"/>
          <w:lang w:eastAsia="ja-JP"/>
        </w:rPr>
        <w:t>.1</w:t>
      </w:r>
      <w:r w:rsidRPr="007A209F">
        <w:rPr>
          <w:rFonts w:ascii="Times New Roman" w:hAnsi="Times New Roman"/>
          <w:lang w:eastAsia="ja-JP"/>
        </w:rPr>
        <w:t>, MPDCCH#0 and PDSCH#0 refer to the control channel and corresponding user data associated to HARQ Process #0. PUCCH #0 in Subframe#</w:t>
      </w:r>
      <w:r w:rsidR="00091734">
        <w:rPr>
          <w:rFonts w:ascii="Times New Roman" w:hAnsi="Times New Roman"/>
          <w:lang w:eastAsia="ja-JP"/>
        </w:rPr>
        <w:t>6</w:t>
      </w:r>
      <w:r w:rsidRPr="007A209F">
        <w:rPr>
          <w:rFonts w:ascii="Times New Roman" w:hAnsi="Times New Roman"/>
          <w:lang w:eastAsia="ja-JP"/>
        </w:rPr>
        <w:t xml:space="preserve"> </w:t>
      </w:r>
      <w:r w:rsidR="00091734">
        <w:rPr>
          <w:rFonts w:ascii="Times New Roman" w:hAnsi="Times New Roman"/>
          <w:lang w:eastAsia="ja-JP"/>
        </w:rPr>
        <w:t>is used to transmit the</w:t>
      </w:r>
      <w:r w:rsidRPr="007A209F">
        <w:rPr>
          <w:rFonts w:ascii="Times New Roman" w:hAnsi="Times New Roman"/>
          <w:lang w:eastAsia="ja-JP"/>
        </w:rPr>
        <w:t xml:space="preserve"> ACK/NACK associated to HARQ process</w:t>
      </w:r>
      <w:r w:rsidR="00091734">
        <w:rPr>
          <w:rFonts w:ascii="Times New Roman" w:hAnsi="Times New Roman"/>
          <w:lang w:eastAsia="ja-JP"/>
        </w:rPr>
        <w:t xml:space="preserve"> #0.</w:t>
      </w:r>
    </w:p>
    <w:p w14:paraId="0CC9CEF1" w14:textId="093FF84A" w:rsidR="00091734" w:rsidRDefault="00091734" w:rsidP="00091734">
      <w:pPr>
        <w:pStyle w:val="Reference"/>
        <w:numPr>
          <w:ilvl w:val="0"/>
          <w:numId w:val="0"/>
        </w:numPr>
        <w:rPr>
          <w:rFonts w:ascii="Times New Roman" w:hAnsi="Times New Roman"/>
        </w:rPr>
      </w:pPr>
      <w:r>
        <w:rPr>
          <w:rFonts w:ascii="Times New Roman" w:hAnsi="Times New Roman"/>
        </w:rPr>
        <w:t>On the other hand, T</w:t>
      </w:r>
      <w:r w:rsidRPr="007E5A61">
        <w:rPr>
          <w:rFonts w:ascii="Times New Roman" w:hAnsi="Times New Roman"/>
        </w:rPr>
        <w:t>able A1</w:t>
      </w:r>
      <w:r>
        <w:rPr>
          <w:rFonts w:ascii="Times New Roman" w:hAnsi="Times New Roman"/>
        </w:rPr>
        <w:t>.2</w:t>
      </w:r>
      <w:r w:rsidRPr="007E5A61">
        <w:rPr>
          <w:rFonts w:ascii="Times New Roman" w:hAnsi="Times New Roman"/>
        </w:rPr>
        <w:t xml:space="preserve"> illustrates the </w:t>
      </w:r>
      <w:r>
        <w:rPr>
          <w:rFonts w:ascii="Times New Roman" w:hAnsi="Times New Roman"/>
        </w:rPr>
        <w:t>legacy processing delays of a t</w:t>
      </w:r>
      <w:r w:rsidRPr="007E5A61">
        <w:rPr>
          <w:rFonts w:ascii="Times New Roman" w:hAnsi="Times New Roman"/>
        </w:rPr>
        <w:t xml:space="preserve">ransmission </w:t>
      </w:r>
      <w:r>
        <w:rPr>
          <w:rFonts w:ascii="Times New Roman" w:hAnsi="Times New Roman"/>
        </w:rPr>
        <w:t>corresponding to</w:t>
      </w:r>
      <w:r w:rsidRPr="007E5A61">
        <w:rPr>
          <w:rFonts w:ascii="Times New Roman" w:hAnsi="Times New Roman"/>
        </w:rPr>
        <w:t xml:space="preserve"> one HARQ process </w:t>
      </w:r>
      <w:r>
        <w:rPr>
          <w:rFonts w:ascii="Times New Roman" w:hAnsi="Times New Roman"/>
        </w:rPr>
        <w:t>disabling</w:t>
      </w:r>
      <w:r w:rsidRPr="007E5A61">
        <w:rPr>
          <w:rFonts w:ascii="Times New Roman" w:hAnsi="Times New Roman"/>
        </w:rPr>
        <w:t xml:space="preserve"> HARQ feedback for </w:t>
      </w:r>
      <w:r>
        <w:rPr>
          <w:rFonts w:ascii="Times New Roman" w:hAnsi="Times New Roman"/>
        </w:rPr>
        <w:t xml:space="preserve">a </w:t>
      </w:r>
      <w:r w:rsidRPr="007E5A61">
        <w:rPr>
          <w:rFonts w:ascii="Times New Roman" w:hAnsi="Times New Roman"/>
        </w:rPr>
        <w:t>HD-FDD Cat M1 UE</w:t>
      </w:r>
      <w:r>
        <w:rPr>
          <w:rFonts w:ascii="Times New Roman" w:hAnsi="Times New Roman"/>
        </w:rPr>
        <w:t xml:space="preserve">, where PUCCH is not transmitted and where the </w:t>
      </w:r>
      <w:r w:rsidRPr="00091734">
        <w:rPr>
          <w:rFonts w:ascii="Times New Roman" w:hAnsi="Times New Roman"/>
        </w:rPr>
        <w:t xml:space="preserve">earliest the DL monitoring </w:t>
      </w:r>
      <w:r>
        <w:rPr>
          <w:rFonts w:ascii="Times New Roman" w:hAnsi="Times New Roman"/>
        </w:rPr>
        <w:t>starts</w:t>
      </w:r>
      <w:r w:rsidR="00FB7EC9">
        <w:rPr>
          <w:rFonts w:ascii="Times New Roman" w:hAnsi="Times New Roman"/>
        </w:rPr>
        <w:t xml:space="preserve"> is</w:t>
      </w:r>
      <w:r w:rsidRPr="00091734">
        <w:rPr>
          <w:rFonts w:ascii="Times New Roman" w:hAnsi="Times New Roman"/>
        </w:rPr>
        <w:t xml:space="preserve"> at the subframe at which PUCCH would be otherwise transmitted (i.e., preserving for sufficient PDSCH decoding time, at least a 3 </w:t>
      </w:r>
      <w:proofErr w:type="spellStart"/>
      <w:r w:rsidRPr="00091734">
        <w:rPr>
          <w:rFonts w:ascii="Times New Roman" w:hAnsi="Times New Roman"/>
        </w:rPr>
        <w:t>ms</w:t>
      </w:r>
      <w:proofErr w:type="spellEnd"/>
      <w:r w:rsidRPr="00091734">
        <w:rPr>
          <w:rFonts w:ascii="Times New Roman" w:hAnsi="Times New Roman"/>
        </w:rPr>
        <w:t xml:space="preserve"> delay between the end of PDSCH and the start of the DL monitoring)</w:t>
      </w:r>
      <w:r w:rsidR="007F4881">
        <w:rPr>
          <w:rFonts w:ascii="Times New Roman" w:hAnsi="Times New Roman"/>
        </w:rPr>
        <w:t>.</w:t>
      </w:r>
    </w:p>
    <w:p w14:paraId="5BDEC8CA" w14:textId="77777777" w:rsidR="00091734" w:rsidRDefault="00091734" w:rsidP="007E5A61">
      <w:pPr>
        <w:pStyle w:val="BodyText"/>
        <w:rPr>
          <w:rFonts w:ascii="Times New Roman" w:hAnsi="Times New Roman"/>
          <w:lang w:eastAsia="ja-JP"/>
        </w:rPr>
      </w:pPr>
    </w:p>
    <w:p w14:paraId="16C4B22E" w14:textId="66D1861C" w:rsidR="00A84E0A" w:rsidRPr="00FB7EC9" w:rsidRDefault="00FB7EC9" w:rsidP="00FB7EC9">
      <w:pPr>
        <w:pStyle w:val="BodyText"/>
        <w:jc w:val="center"/>
        <w:rPr>
          <w:rFonts w:ascii="Times New Roman" w:hAnsi="Times New Roman"/>
          <w:sz w:val="16"/>
          <w:szCs w:val="16"/>
          <w:lang w:eastAsia="ja-JP"/>
        </w:rPr>
      </w:pPr>
      <w:r w:rsidRPr="00A87D48">
        <w:rPr>
          <w:rFonts w:ascii="Times New Roman" w:hAnsi="Times New Roman"/>
          <w:sz w:val="16"/>
          <w:szCs w:val="16"/>
          <w:lang w:eastAsia="ja-JP"/>
        </w:rPr>
        <w:t xml:space="preserve">Table </w:t>
      </w:r>
      <w:r>
        <w:rPr>
          <w:rFonts w:ascii="Times New Roman" w:hAnsi="Times New Roman"/>
          <w:sz w:val="16"/>
          <w:szCs w:val="16"/>
          <w:lang w:eastAsia="ja-JP"/>
        </w:rPr>
        <w:t>A</w:t>
      </w:r>
      <w:r w:rsidRPr="00A87D48">
        <w:rPr>
          <w:rFonts w:ascii="Times New Roman" w:hAnsi="Times New Roman"/>
          <w:sz w:val="16"/>
          <w:szCs w:val="16"/>
          <w:lang w:eastAsia="ja-JP"/>
        </w:rPr>
        <w:t>1</w:t>
      </w:r>
      <w:r>
        <w:rPr>
          <w:rFonts w:ascii="Times New Roman" w:hAnsi="Times New Roman"/>
          <w:sz w:val="16"/>
          <w:szCs w:val="16"/>
          <w:lang w:eastAsia="ja-JP"/>
        </w:rPr>
        <w:t>.2</w:t>
      </w:r>
      <w:r w:rsidRPr="00A87D48">
        <w:rPr>
          <w:rFonts w:ascii="Times New Roman" w:hAnsi="Times New Roman"/>
          <w:sz w:val="16"/>
          <w:szCs w:val="16"/>
          <w:lang w:eastAsia="ja-JP"/>
        </w:rPr>
        <w:t xml:space="preserve">: </w:t>
      </w:r>
      <w:r>
        <w:rPr>
          <w:rFonts w:ascii="Times New Roman" w:hAnsi="Times New Roman"/>
          <w:sz w:val="16"/>
          <w:szCs w:val="16"/>
          <w:lang w:eastAsia="ja-JP"/>
        </w:rPr>
        <w:t>Transmission of one HARQ process disabling</w:t>
      </w:r>
      <w:r w:rsidRPr="00A87D48">
        <w:rPr>
          <w:rFonts w:ascii="Times New Roman" w:hAnsi="Times New Roman"/>
          <w:sz w:val="16"/>
          <w:szCs w:val="16"/>
          <w:lang w:eastAsia="ja-JP"/>
        </w:rPr>
        <w:t xml:space="preserve"> </w:t>
      </w:r>
      <w:r>
        <w:rPr>
          <w:rFonts w:ascii="Times New Roman" w:hAnsi="Times New Roman"/>
          <w:sz w:val="16"/>
          <w:szCs w:val="16"/>
          <w:lang w:eastAsia="ja-JP"/>
        </w:rPr>
        <w:t xml:space="preserve">HARQ feedback enabled </w:t>
      </w:r>
      <w:r w:rsidRPr="00A87D48">
        <w:rPr>
          <w:rFonts w:ascii="Times New Roman" w:hAnsi="Times New Roman"/>
          <w:sz w:val="16"/>
          <w:szCs w:val="16"/>
          <w:lang w:eastAsia="ja-JP"/>
        </w:rPr>
        <w:t>for a Cat-M1 HD-FDD UE</w:t>
      </w:r>
      <w:r>
        <w:rPr>
          <w:rFonts w:ascii="Times New Roman" w:hAnsi="Times New Roman"/>
          <w:sz w:val="16"/>
          <w:szCs w:val="16"/>
          <w:lang w:eastAsia="ja-JP"/>
        </w:rPr>
        <w:t xml:space="preserve">, </w:t>
      </w:r>
      <w:r w:rsidRPr="00FB7EC9">
        <w:rPr>
          <w:rFonts w:ascii="Times New Roman" w:hAnsi="Times New Roman"/>
          <w:sz w:val="16"/>
          <w:szCs w:val="16"/>
          <w:lang w:eastAsia="ja-JP"/>
        </w:rPr>
        <w:t xml:space="preserve">where PUCCH is not transmitted and where the earliest the DL monitoring starts </w:t>
      </w:r>
      <w:r>
        <w:rPr>
          <w:rFonts w:ascii="Times New Roman" w:hAnsi="Times New Roman"/>
          <w:sz w:val="16"/>
          <w:szCs w:val="16"/>
          <w:lang w:eastAsia="ja-JP"/>
        </w:rPr>
        <w:t xml:space="preserve">is </w:t>
      </w:r>
      <w:r w:rsidRPr="00FB7EC9">
        <w:rPr>
          <w:rFonts w:ascii="Times New Roman" w:hAnsi="Times New Roman"/>
          <w:sz w:val="16"/>
          <w:szCs w:val="16"/>
          <w:lang w:eastAsia="ja-JP"/>
        </w:rPr>
        <w:t>at the subframe at which PUCCH would be otherwise transmitted</w:t>
      </w:r>
      <w:r w:rsidRPr="00A87D48">
        <w:rPr>
          <w:rFonts w:ascii="Times New Roman" w:hAnsi="Times New Roman"/>
          <w:sz w:val="16"/>
          <w:szCs w:val="16"/>
          <w:lang w:eastAsia="ja-JP"/>
        </w:rPr>
        <w:t>.</w:t>
      </w:r>
    </w:p>
    <w:tbl>
      <w:tblPr>
        <w:tblpPr w:leftFromText="180" w:rightFromText="180" w:vertAnchor="text" w:tblpY="1"/>
        <w:tblOverlap w:val="never"/>
        <w:tblW w:w="9353" w:type="dxa"/>
        <w:tblLayout w:type="fixed"/>
        <w:tblCellMar>
          <w:left w:w="0" w:type="dxa"/>
          <w:right w:w="0" w:type="dxa"/>
        </w:tblCellMar>
        <w:tblLook w:val="04A0" w:firstRow="1" w:lastRow="0" w:firstColumn="1" w:lastColumn="0" w:noHBand="0" w:noVBand="1"/>
      </w:tblPr>
      <w:tblGrid>
        <w:gridCol w:w="1243"/>
        <w:gridCol w:w="1236"/>
        <w:gridCol w:w="430"/>
        <w:gridCol w:w="449"/>
        <w:gridCol w:w="437"/>
        <w:gridCol w:w="447"/>
        <w:gridCol w:w="425"/>
        <w:gridCol w:w="426"/>
        <w:gridCol w:w="426"/>
        <w:gridCol w:w="426"/>
        <w:gridCol w:w="426"/>
        <w:gridCol w:w="426"/>
        <w:gridCol w:w="426"/>
        <w:gridCol w:w="426"/>
        <w:gridCol w:w="426"/>
        <w:gridCol w:w="426"/>
        <w:gridCol w:w="426"/>
        <w:gridCol w:w="426"/>
      </w:tblGrid>
      <w:tr w:rsidR="00B83EFD" w:rsidRPr="0047424F" w14:paraId="3D6538B8" w14:textId="7D828F29" w:rsidTr="00B83EFD">
        <w:trPr>
          <w:trHeight w:val="168"/>
        </w:trPr>
        <w:tc>
          <w:tcPr>
            <w:tcW w:w="247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66B70B" w14:textId="77777777" w:rsidR="00B83EFD" w:rsidRPr="0047424F" w:rsidRDefault="00B83EFD" w:rsidP="004664A7">
            <w:pPr>
              <w:rPr>
                <w:rFonts w:ascii="Calibri" w:eastAsia="Calibri" w:hAnsi="Calibri" w:cs="Calibri"/>
                <w:sz w:val="12"/>
                <w:szCs w:val="12"/>
                <w:lang w:val="sv-SE"/>
              </w:rPr>
            </w:pPr>
            <w:r w:rsidRPr="0047424F">
              <w:rPr>
                <w:rFonts w:ascii="Calibri" w:eastAsia="Calibri" w:hAnsi="Calibri" w:cs="Calibri"/>
                <w:sz w:val="12"/>
                <w:szCs w:val="12"/>
                <w:lang w:val="sv-SE"/>
              </w:rPr>
              <w:t>Subrame#</w:t>
            </w:r>
          </w:p>
        </w:tc>
        <w:tc>
          <w:tcPr>
            <w:tcW w:w="4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88D8E5" w14:textId="77777777" w:rsidR="00B83EFD" w:rsidRPr="0047424F" w:rsidRDefault="00B83EFD" w:rsidP="004664A7">
            <w:pPr>
              <w:jc w:val="center"/>
              <w:rPr>
                <w:rFonts w:ascii="Calibri" w:eastAsia="Calibri" w:hAnsi="Calibri" w:cs="Calibri"/>
                <w:sz w:val="12"/>
                <w:szCs w:val="12"/>
                <w:lang w:val="sv-SE"/>
              </w:rPr>
            </w:pPr>
            <w:r w:rsidRPr="0047424F">
              <w:rPr>
                <w:rFonts w:ascii="Calibri" w:eastAsia="Calibri" w:hAnsi="Calibri" w:cs="Calibri"/>
                <w:sz w:val="12"/>
                <w:szCs w:val="12"/>
                <w:lang w:val="sv-SE"/>
              </w:rPr>
              <w:t>0</w:t>
            </w:r>
          </w:p>
        </w:tc>
        <w:tc>
          <w:tcPr>
            <w:tcW w:w="4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F59000" w14:textId="77777777" w:rsidR="00B83EFD" w:rsidRPr="0047424F" w:rsidRDefault="00B83EFD" w:rsidP="004664A7">
            <w:pPr>
              <w:jc w:val="center"/>
              <w:rPr>
                <w:rFonts w:ascii="Calibri" w:eastAsia="Calibri" w:hAnsi="Calibri" w:cs="Calibri"/>
                <w:sz w:val="12"/>
                <w:szCs w:val="12"/>
                <w:lang w:val="sv-SE"/>
              </w:rPr>
            </w:pPr>
            <w:r w:rsidRPr="0047424F">
              <w:rPr>
                <w:rFonts w:ascii="Calibri" w:eastAsia="Calibri" w:hAnsi="Calibri" w:cs="Calibri"/>
                <w:sz w:val="12"/>
                <w:szCs w:val="12"/>
                <w:lang w:val="sv-SE"/>
              </w:rPr>
              <w:t>1</w:t>
            </w:r>
          </w:p>
        </w:tc>
        <w:tc>
          <w:tcPr>
            <w:tcW w:w="4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A21C6E" w14:textId="77777777" w:rsidR="00B83EFD" w:rsidRPr="0047424F" w:rsidRDefault="00B83EFD" w:rsidP="004664A7">
            <w:pPr>
              <w:jc w:val="center"/>
              <w:rPr>
                <w:rFonts w:ascii="Calibri" w:eastAsia="Calibri" w:hAnsi="Calibri" w:cs="Calibri"/>
                <w:sz w:val="12"/>
                <w:szCs w:val="12"/>
                <w:lang w:val="sv-SE"/>
              </w:rPr>
            </w:pPr>
            <w:r w:rsidRPr="0047424F">
              <w:rPr>
                <w:rFonts w:ascii="Calibri" w:eastAsia="Calibri" w:hAnsi="Calibri" w:cs="Calibri"/>
                <w:sz w:val="12"/>
                <w:szCs w:val="12"/>
                <w:lang w:val="sv-SE"/>
              </w:rPr>
              <w:t>2</w:t>
            </w:r>
          </w:p>
        </w:tc>
        <w:tc>
          <w:tcPr>
            <w:tcW w:w="4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2965EE" w14:textId="77777777" w:rsidR="00B83EFD" w:rsidRPr="0047424F" w:rsidRDefault="00B83EFD" w:rsidP="004664A7">
            <w:pPr>
              <w:jc w:val="center"/>
              <w:rPr>
                <w:rFonts w:ascii="Calibri" w:eastAsia="Calibri" w:hAnsi="Calibri" w:cs="Calibri"/>
                <w:sz w:val="12"/>
                <w:szCs w:val="12"/>
                <w:lang w:val="sv-SE"/>
              </w:rPr>
            </w:pPr>
            <w:r w:rsidRPr="0047424F">
              <w:rPr>
                <w:rFonts w:ascii="Calibri" w:eastAsia="Calibri" w:hAnsi="Calibri" w:cs="Calibri"/>
                <w:sz w:val="12"/>
                <w:szCs w:val="12"/>
                <w:lang w:val="sv-SE"/>
              </w:rPr>
              <w:t>3</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381741" w14:textId="77777777" w:rsidR="00B83EFD" w:rsidRPr="0047424F" w:rsidRDefault="00B83EFD" w:rsidP="004664A7">
            <w:pPr>
              <w:jc w:val="center"/>
              <w:rPr>
                <w:rFonts w:ascii="Calibri" w:eastAsia="Calibri" w:hAnsi="Calibri" w:cs="Calibri"/>
                <w:sz w:val="12"/>
                <w:szCs w:val="12"/>
                <w:lang w:val="sv-SE"/>
              </w:rPr>
            </w:pPr>
            <w:r w:rsidRPr="0047424F">
              <w:rPr>
                <w:rFonts w:ascii="Calibri" w:eastAsia="Calibri" w:hAnsi="Calibri" w:cs="Calibri"/>
                <w:sz w:val="12"/>
                <w:szCs w:val="12"/>
                <w:lang w:val="sv-SE"/>
              </w:rPr>
              <w:t>4</w:t>
            </w:r>
          </w:p>
        </w:tc>
        <w:tc>
          <w:tcPr>
            <w:tcW w:w="4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E0F081" w14:textId="77777777" w:rsidR="00B83EFD" w:rsidRPr="0047424F" w:rsidRDefault="00B83EFD" w:rsidP="004664A7">
            <w:pPr>
              <w:jc w:val="center"/>
              <w:rPr>
                <w:rFonts w:ascii="Calibri" w:eastAsia="Calibri" w:hAnsi="Calibri" w:cs="Calibri"/>
                <w:sz w:val="12"/>
                <w:szCs w:val="12"/>
                <w:lang w:val="sv-SE"/>
              </w:rPr>
            </w:pPr>
            <w:r w:rsidRPr="0047424F">
              <w:rPr>
                <w:rFonts w:ascii="Calibri" w:eastAsia="Calibri" w:hAnsi="Calibri" w:cs="Calibri"/>
                <w:sz w:val="12"/>
                <w:szCs w:val="12"/>
                <w:lang w:val="sv-SE"/>
              </w:rPr>
              <w:t>5</w:t>
            </w:r>
          </w:p>
        </w:tc>
        <w:tc>
          <w:tcPr>
            <w:tcW w:w="4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77612C" w14:textId="77777777" w:rsidR="00B83EFD" w:rsidRPr="0047424F" w:rsidRDefault="00B83EFD" w:rsidP="004664A7">
            <w:pPr>
              <w:jc w:val="center"/>
              <w:rPr>
                <w:rFonts w:ascii="Calibri" w:eastAsia="Calibri" w:hAnsi="Calibri" w:cs="Calibri"/>
                <w:sz w:val="12"/>
                <w:szCs w:val="12"/>
                <w:lang w:val="sv-SE"/>
              </w:rPr>
            </w:pPr>
            <w:r w:rsidRPr="0047424F">
              <w:rPr>
                <w:rFonts w:ascii="Calibri" w:eastAsia="Calibri" w:hAnsi="Calibri" w:cs="Calibri"/>
                <w:sz w:val="12"/>
                <w:szCs w:val="12"/>
                <w:lang w:val="sv-SE"/>
              </w:rPr>
              <w:t>6</w:t>
            </w:r>
          </w:p>
        </w:tc>
        <w:tc>
          <w:tcPr>
            <w:tcW w:w="426" w:type="dxa"/>
            <w:tcBorders>
              <w:top w:val="single" w:sz="8" w:space="0" w:color="auto"/>
              <w:left w:val="nil"/>
              <w:bottom w:val="single" w:sz="8" w:space="0" w:color="auto"/>
              <w:right w:val="single" w:sz="8" w:space="0" w:color="auto"/>
            </w:tcBorders>
          </w:tcPr>
          <w:p w14:paraId="45A16055" w14:textId="5C175997" w:rsidR="00B83EFD" w:rsidRPr="0047424F" w:rsidRDefault="00B83EFD" w:rsidP="004664A7">
            <w:pPr>
              <w:jc w:val="center"/>
              <w:rPr>
                <w:rFonts w:ascii="Calibri" w:eastAsia="Calibri" w:hAnsi="Calibri" w:cs="Calibri"/>
                <w:sz w:val="12"/>
                <w:szCs w:val="12"/>
                <w:lang w:val="sv-SE"/>
              </w:rPr>
            </w:pPr>
            <w:r>
              <w:rPr>
                <w:rFonts w:ascii="Calibri" w:eastAsia="Calibri" w:hAnsi="Calibri" w:cs="Calibri"/>
                <w:sz w:val="12"/>
                <w:szCs w:val="12"/>
                <w:lang w:val="sv-SE"/>
              </w:rPr>
              <w:t>7</w:t>
            </w:r>
          </w:p>
        </w:tc>
        <w:tc>
          <w:tcPr>
            <w:tcW w:w="426" w:type="dxa"/>
            <w:tcBorders>
              <w:top w:val="single" w:sz="8" w:space="0" w:color="auto"/>
              <w:left w:val="nil"/>
              <w:bottom w:val="single" w:sz="8" w:space="0" w:color="auto"/>
              <w:right w:val="single" w:sz="8" w:space="0" w:color="auto"/>
            </w:tcBorders>
          </w:tcPr>
          <w:p w14:paraId="6995603A" w14:textId="06D4CCB4" w:rsidR="00B83EFD" w:rsidRPr="0047424F" w:rsidRDefault="00B83EFD" w:rsidP="004664A7">
            <w:pPr>
              <w:jc w:val="center"/>
              <w:rPr>
                <w:rFonts w:ascii="Calibri" w:eastAsia="Calibri" w:hAnsi="Calibri" w:cs="Calibri"/>
                <w:sz w:val="12"/>
                <w:szCs w:val="12"/>
                <w:lang w:val="sv-SE"/>
              </w:rPr>
            </w:pPr>
            <w:r>
              <w:rPr>
                <w:rFonts w:ascii="Calibri" w:eastAsia="Calibri" w:hAnsi="Calibri" w:cs="Calibri"/>
                <w:sz w:val="12"/>
                <w:szCs w:val="12"/>
                <w:lang w:val="sv-SE"/>
              </w:rPr>
              <w:t>8</w:t>
            </w:r>
          </w:p>
        </w:tc>
        <w:tc>
          <w:tcPr>
            <w:tcW w:w="426" w:type="dxa"/>
            <w:tcBorders>
              <w:top w:val="single" w:sz="8" w:space="0" w:color="auto"/>
              <w:left w:val="nil"/>
              <w:bottom w:val="single" w:sz="8" w:space="0" w:color="auto"/>
              <w:right w:val="single" w:sz="8" w:space="0" w:color="auto"/>
            </w:tcBorders>
          </w:tcPr>
          <w:p w14:paraId="2AB74F2D" w14:textId="2CBDB683" w:rsidR="00B83EFD" w:rsidRPr="0047424F" w:rsidRDefault="00B83EFD" w:rsidP="004664A7">
            <w:pPr>
              <w:jc w:val="center"/>
              <w:rPr>
                <w:rFonts w:ascii="Calibri" w:eastAsia="Calibri" w:hAnsi="Calibri" w:cs="Calibri"/>
                <w:sz w:val="12"/>
                <w:szCs w:val="12"/>
                <w:lang w:val="sv-SE"/>
              </w:rPr>
            </w:pPr>
            <w:r>
              <w:rPr>
                <w:rFonts w:ascii="Calibri" w:eastAsia="Calibri" w:hAnsi="Calibri" w:cs="Calibri"/>
                <w:sz w:val="12"/>
                <w:szCs w:val="12"/>
                <w:lang w:val="sv-SE"/>
              </w:rPr>
              <w:t>9</w:t>
            </w:r>
          </w:p>
        </w:tc>
        <w:tc>
          <w:tcPr>
            <w:tcW w:w="426" w:type="dxa"/>
            <w:tcBorders>
              <w:top w:val="single" w:sz="8" w:space="0" w:color="auto"/>
              <w:left w:val="nil"/>
              <w:bottom w:val="single" w:sz="8" w:space="0" w:color="auto"/>
              <w:right w:val="single" w:sz="8" w:space="0" w:color="auto"/>
            </w:tcBorders>
          </w:tcPr>
          <w:p w14:paraId="6A342D10" w14:textId="3E61D1F7" w:rsidR="00B83EFD" w:rsidRPr="0047424F" w:rsidRDefault="00B83EFD" w:rsidP="004664A7">
            <w:pPr>
              <w:jc w:val="center"/>
              <w:rPr>
                <w:rFonts w:ascii="Calibri" w:eastAsia="Calibri" w:hAnsi="Calibri" w:cs="Calibri"/>
                <w:sz w:val="12"/>
                <w:szCs w:val="12"/>
                <w:lang w:val="sv-SE"/>
              </w:rPr>
            </w:pPr>
            <w:r>
              <w:rPr>
                <w:rFonts w:ascii="Calibri" w:eastAsia="Calibri" w:hAnsi="Calibri" w:cs="Calibri"/>
                <w:sz w:val="12"/>
                <w:szCs w:val="12"/>
                <w:lang w:val="sv-SE"/>
              </w:rPr>
              <w:t>10</w:t>
            </w:r>
          </w:p>
        </w:tc>
        <w:tc>
          <w:tcPr>
            <w:tcW w:w="426" w:type="dxa"/>
            <w:tcBorders>
              <w:top w:val="single" w:sz="8" w:space="0" w:color="auto"/>
              <w:left w:val="nil"/>
              <w:bottom w:val="single" w:sz="8" w:space="0" w:color="auto"/>
              <w:right w:val="single" w:sz="8" w:space="0" w:color="auto"/>
            </w:tcBorders>
          </w:tcPr>
          <w:p w14:paraId="015B1BA2" w14:textId="05E8808A" w:rsidR="00B83EFD" w:rsidRPr="0047424F" w:rsidRDefault="00B83EFD" w:rsidP="004664A7">
            <w:pPr>
              <w:jc w:val="center"/>
              <w:rPr>
                <w:rFonts w:ascii="Calibri" w:eastAsia="Calibri" w:hAnsi="Calibri" w:cs="Calibri"/>
                <w:sz w:val="12"/>
                <w:szCs w:val="12"/>
                <w:lang w:val="sv-SE"/>
              </w:rPr>
            </w:pPr>
            <w:r>
              <w:rPr>
                <w:rFonts w:ascii="Calibri" w:eastAsia="Calibri" w:hAnsi="Calibri" w:cs="Calibri"/>
                <w:sz w:val="12"/>
                <w:szCs w:val="12"/>
                <w:lang w:val="sv-SE"/>
              </w:rPr>
              <w:t>11</w:t>
            </w:r>
          </w:p>
        </w:tc>
        <w:tc>
          <w:tcPr>
            <w:tcW w:w="426" w:type="dxa"/>
            <w:tcBorders>
              <w:top w:val="single" w:sz="8" w:space="0" w:color="auto"/>
              <w:left w:val="nil"/>
              <w:bottom w:val="single" w:sz="8" w:space="0" w:color="auto"/>
              <w:right w:val="single" w:sz="8" w:space="0" w:color="auto"/>
            </w:tcBorders>
          </w:tcPr>
          <w:p w14:paraId="3A37C0EB" w14:textId="360A2016" w:rsidR="00B83EFD" w:rsidRPr="0047424F" w:rsidRDefault="00B83EFD" w:rsidP="004664A7">
            <w:pPr>
              <w:jc w:val="center"/>
              <w:rPr>
                <w:rFonts w:ascii="Calibri" w:eastAsia="Calibri" w:hAnsi="Calibri" w:cs="Calibri"/>
                <w:sz w:val="12"/>
                <w:szCs w:val="12"/>
                <w:lang w:val="sv-SE"/>
              </w:rPr>
            </w:pPr>
            <w:r>
              <w:rPr>
                <w:rFonts w:ascii="Calibri" w:eastAsia="Calibri" w:hAnsi="Calibri" w:cs="Calibri"/>
                <w:sz w:val="12"/>
                <w:szCs w:val="12"/>
                <w:lang w:val="sv-SE"/>
              </w:rPr>
              <w:t>12</w:t>
            </w:r>
          </w:p>
        </w:tc>
        <w:tc>
          <w:tcPr>
            <w:tcW w:w="426" w:type="dxa"/>
            <w:tcBorders>
              <w:top w:val="single" w:sz="8" w:space="0" w:color="auto"/>
              <w:left w:val="nil"/>
              <w:bottom w:val="single" w:sz="8" w:space="0" w:color="auto"/>
              <w:right w:val="single" w:sz="8" w:space="0" w:color="auto"/>
            </w:tcBorders>
          </w:tcPr>
          <w:p w14:paraId="6A0E3840" w14:textId="19277B93" w:rsidR="00B83EFD" w:rsidRPr="0047424F" w:rsidRDefault="00B83EFD" w:rsidP="004664A7">
            <w:pPr>
              <w:jc w:val="center"/>
              <w:rPr>
                <w:rFonts w:ascii="Calibri" w:eastAsia="Calibri" w:hAnsi="Calibri" w:cs="Calibri"/>
                <w:sz w:val="12"/>
                <w:szCs w:val="12"/>
                <w:lang w:val="sv-SE"/>
              </w:rPr>
            </w:pPr>
            <w:r>
              <w:rPr>
                <w:rFonts w:ascii="Calibri" w:eastAsia="Calibri" w:hAnsi="Calibri" w:cs="Calibri"/>
                <w:sz w:val="12"/>
                <w:szCs w:val="12"/>
                <w:lang w:val="sv-SE"/>
              </w:rPr>
              <w:t>13</w:t>
            </w:r>
          </w:p>
        </w:tc>
        <w:tc>
          <w:tcPr>
            <w:tcW w:w="426" w:type="dxa"/>
            <w:tcBorders>
              <w:top w:val="single" w:sz="8" w:space="0" w:color="auto"/>
              <w:left w:val="nil"/>
              <w:bottom w:val="single" w:sz="8" w:space="0" w:color="auto"/>
              <w:right w:val="single" w:sz="8" w:space="0" w:color="auto"/>
            </w:tcBorders>
          </w:tcPr>
          <w:p w14:paraId="72EAD74D" w14:textId="4DD13963" w:rsidR="00B83EFD" w:rsidRPr="0047424F" w:rsidRDefault="00B83EFD" w:rsidP="004664A7">
            <w:pPr>
              <w:jc w:val="center"/>
              <w:rPr>
                <w:rFonts w:ascii="Calibri" w:eastAsia="Calibri" w:hAnsi="Calibri" w:cs="Calibri"/>
                <w:sz w:val="12"/>
                <w:szCs w:val="12"/>
                <w:lang w:val="sv-SE"/>
              </w:rPr>
            </w:pPr>
            <w:r>
              <w:rPr>
                <w:rFonts w:ascii="Calibri" w:eastAsia="Calibri" w:hAnsi="Calibri" w:cs="Calibri"/>
                <w:sz w:val="12"/>
                <w:szCs w:val="12"/>
                <w:lang w:val="sv-SE"/>
              </w:rPr>
              <w:t>14</w:t>
            </w:r>
          </w:p>
        </w:tc>
        <w:tc>
          <w:tcPr>
            <w:tcW w:w="426" w:type="dxa"/>
            <w:tcBorders>
              <w:top w:val="single" w:sz="8" w:space="0" w:color="auto"/>
              <w:left w:val="nil"/>
              <w:bottom w:val="single" w:sz="8" w:space="0" w:color="auto"/>
              <w:right w:val="single" w:sz="8" w:space="0" w:color="auto"/>
            </w:tcBorders>
          </w:tcPr>
          <w:p w14:paraId="14BB176D" w14:textId="4F00C213" w:rsidR="00B83EFD" w:rsidRDefault="00B83EFD" w:rsidP="004664A7">
            <w:pPr>
              <w:jc w:val="center"/>
              <w:rPr>
                <w:rFonts w:ascii="Calibri" w:eastAsia="Calibri" w:hAnsi="Calibri" w:cs="Calibri"/>
                <w:sz w:val="12"/>
                <w:szCs w:val="12"/>
                <w:lang w:val="sv-SE"/>
              </w:rPr>
            </w:pPr>
            <w:r>
              <w:rPr>
                <w:rFonts w:ascii="Calibri" w:eastAsia="Calibri" w:hAnsi="Calibri" w:cs="Calibri"/>
                <w:sz w:val="12"/>
                <w:szCs w:val="12"/>
                <w:lang w:val="sv-SE"/>
              </w:rPr>
              <w:t>15</w:t>
            </w:r>
          </w:p>
        </w:tc>
      </w:tr>
      <w:tr w:rsidR="00B83EFD" w:rsidRPr="0047424F" w14:paraId="467EF6D2" w14:textId="30213E0C" w:rsidTr="00B83EFD">
        <w:trPr>
          <w:trHeight w:val="163"/>
        </w:trPr>
        <w:tc>
          <w:tcPr>
            <w:tcW w:w="247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3DC1C2" w14:textId="77777777" w:rsidR="00B83EFD" w:rsidRPr="0047424F" w:rsidRDefault="00B83EFD" w:rsidP="004664A7">
            <w:pPr>
              <w:rPr>
                <w:rFonts w:ascii="Calibri" w:eastAsia="Calibri" w:hAnsi="Calibri" w:cs="Calibri"/>
                <w:sz w:val="12"/>
                <w:szCs w:val="12"/>
                <w:lang w:val="sv-SE"/>
              </w:rPr>
            </w:pPr>
            <w:r w:rsidRPr="0047424F">
              <w:rPr>
                <w:rFonts w:ascii="Calibri" w:eastAsia="Calibri" w:hAnsi="Calibri" w:cs="Calibri"/>
                <w:sz w:val="12"/>
                <w:szCs w:val="12"/>
                <w:lang w:val="sv-SE"/>
              </w:rPr>
              <w:lastRenderedPageBreak/>
              <w:t>MPDCCH</w:t>
            </w:r>
          </w:p>
        </w:tc>
        <w:tc>
          <w:tcPr>
            <w:tcW w:w="430" w:type="dxa"/>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hideMark/>
          </w:tcPr>
          <w:p w14:paraId="2F3F244B" w14:textId="77777777" w:rsidR="00B83EFD" w:rsidRPr="0047424F" w:rsidRDefault="00B83EFD" w:rsidP="004664A7">
            <w:pPr>
              <w:jc w:val="center"/>
              <w:rPr>
                <w:rFonts w:ascii="Calibri" w:eastAsia="Calibri" w:hAnsi="Calibri" w:cs="Calibri"/>
                <w:sz w:val="12"/>
                <w:szCs w:val="12"/>
                <w:lang w:val="sv-SE"/>
              </w:rPr>
            </w:pPr>
            <w:r w:rsidRPr="0047424F">
              <w:rPr>
                <w:rFonts w:ascii="Calibri" w:eastAsia="Calibri" w:hAnsi="Calibri" w:cs="Calibri"/>
                <w:sz w:val="12"/>
                <w:szCs w:val="12"/>
                <w:lang w:val="sv-SE"/>
              </w:rPr>
              <w:t>0</w:t>
            </w:r>
          </w:p>
        </w:tc>
        <w:tc>
          <w:tcPr>
            <w:tcW w:w="449" w:type="dxa"/>
            <w:tcBorders>
              <w:top w:val="nil"/>
              <w:left w:val="nil"/>
              <w:bottom w:val="single" w:sz="8" w:space="0" w:color="auto"/>
              <w:right w:val="single" w:sz="8" w:space="0" w:color="auto"/>
            </w:tcBorders>
            <w:tcMar>
              <w:top w:w="0" w:type="dxa"/>
              <w:left w:w="108" w:type="dxa"/>
              <w:bottom w:w="0" w:type="dxa"/>
              <w:right w:w="108" w:type="dxa"/>
            </w:tcMar>
          </w:tcPr>
          <w:p w14:paraId="24600B9E" w14:textId="77777777" w:rsidR="00B83EFD" w:rsidRPr="0047424F" w:rsidRDefault="00B83EFD" w:rsidP="004664A7">
            <w:pPr>
              <w:jc w:val="center"/>
              <w:rPr>
                <w:rFonts w:ascii="Calibri" w:eastAsia="Calibri" w:hAnsi="Calibri" w:cs="Calibri"/>
                <w:sz w:val="12"/>
                <w:szCs w:val="12"/>
                <w:lang w:val="sv-SE"/>
              </w:rPr>
            </w:pPr>
          </w:p>
        </w:tc>
        <w:tc>
          <w:tcPr>
            <w:tcW w:w="437" w:type="dxa"/>
            <w:tcBorders>
              <w:top w:val="nil"/>
              <w:left w:val="nil"/>
              <w:bottom w:val="single" w:sz="8" w:space="0" w:color="auto"/>
              <w:right w:val="single" w:sz="8" w:space="0" w:color="auto"/>
            </w:tcBorders>
            <w:tcMar>
              <w:top w:w="0" w:type="dxa"/>
              <w:left w:w="108" w:type="dxa"/>
              <w:bottom w:w="0" w:type="dxa"/>
              <w:right w:w="108" w:type="dxa"/>
            </w:tcMar>
          </w:tcPr>
          <w:p w14:paraId="13AA72FC" w14:textId="77777777" w:rsidR="00B83EFD" w:rsidRPr="0047424F" w:rsidRDefault="00B83EFD" w:rsidP="004664A7">
            <w:pPr>
              <w:jc w:val="center"/>
              <w:rPr>
                <w:rFonts w:ascii="Calibri" w:eastAsia="Calibri" w:hAnsi="Calibri" w:cs="Calibri"/>
                <w:sz w:val="12"/>
                <w:szCs w:val="12"/>
                <w:lang w:val="sv-SE"/>
              </w:rPr>
            </w:pPr>
          </w:p>
        </w:tc>
        <w:tc>
          <w:tcPr>
            <w:tcW w:w="447" w:type="dxa"/>
            <w:tcBorders>
              <w:top w:val="nil"/>
              <w:left w:val="nil"/>
              <w:bottom w:val="single" w:sz="8" w:space="0" w:color="auto"/>
              <w:right w:val="single" w:sz="8" w:space="0" w:color="auto"/>
            </w:tcBorders>
            <w:tcMar>
              <w:top w:w="0" w:type="dxa"/>
              <w:left w:w="108" w:type="dxa"/>
              <w:bottom w:w="0" w:type="dxa"/>
              <w:right w:w="108" w:type="dxa"/>
            </w:tcMar>
          </w:tcPr>
          <w:p w14:paraId="0D09E512" w14:textId="77777777" w:rsidR="00B83EFD" w:rsidRPr="0047424F" w:rsidRDefault="00B83EFD" w:rsidP="004664A7">
            <w:pPr>
              <w:jc w:val="center"/>
              <w:rPr>
                <w:rFonts w:ascii="Calibri" w:eastAsia="Calibri" w:hAnsi="Calibri" w:cs="Calibri"/>
                <w:sz w:val="12"/>
                <w:szCs w:val="12"/>
                <w:lang w:val="sv-SE"/>
              </w:rPr>
            </w:pP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4FA5ADDE" w14:textId="77777777" w:rsidR="00B83EFD" w:rsidRPr="0047424F" w:rsidRDefault="00B83EFD" w:rsidP="004664A7">
            <w:pPr>
              <w:jc w:val="center"/>
              <w:rPr>
                <w:rFonts w:ascii="Calibri" w:eastAsia="Calibri" w:hAnsi="Calibri" w:cs="Calibri"/>
                <w:sz w:val="12"/>
                <w:szCs w:val="12"/>
                <w:lang w:val="sv-SE"/>
              </w:rPr>
            </w:pPr>
          </w:p>
        </w:tc>
        <w:tc>
          <w:tcPr>
            <w:tcW w:w="426" w:type="dxa"/>
            <w:tcBorders>
              <w:top w:val="nil"/>
              <w:left w:val="nil"/>
              <w:bottom w:val="single" w:sz="8" w:space="0" w:color="auto"/>
              <w:right w:val="single" w:sz="8" w:space="0" w:color="auto"/>
            </w:tcBorders>
            <w:tcMar>
              <w:top w:w="0" w:type="dxa"/>
              <w:left w:w="108" w:type="dxa"/>
              <w:bottom w:w="0" w:type="dxa"/>
              <w:right w:w="108" w:type="dxa"/>
            </w:tcMar>
          </w:tcPr>
          <w:p w14:paraId="220BFEAF" w14:textId="77777777" w:rsidR="00B83EFD" w:rsidRPr="0047424F" w:rsidRDefault="00B83EFD" w:rsidP="004664A7">
            <w:pPr>
              <w:jc w:val="center"/>
              <w:rPr>
                <w:rFonts w:ascii="Calibri" w:eastAsia="Calibri" w:hAnsi="Calibri" w:cs="Calibri"/>
                <w:sz w:val="12"/>
                <w:szCs w:val="12"/>
                <w:lang w:val="sv-SE"/>
              </w:rPr>
            </w:pPr>
          </w:p>
        </w:tc>
        <w:tc>
          <w:tcPr>
            <w:tcW w:w="426" w:type="dxa"/>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tcPr>
          <w:p w14:paraId="41363BAB" w14:textId="56850467" w:rsidR="00B83EFD" w:rsidRPr="0047424F" w:rsidRDefault="00B83EFD" w:rsidP="004664A7">
            <w:pPr>
              <w:jc w:val="center"/>
              <w:rPr>
                <w:rFonts w:ascii="Calibri" w:eastAsia="Calibri" w:hAnsi="Calibri" w:cs="Calibri"/>
                <w:sz w:val="12"/>
                <w:szCs w:val="12"/>
                <w:lang w:val="sv-SE"/>
              </w:rPr>
            </w:pPr>
            <w:r>
              <w:rPr>
                <w:rFonts w:ascii="Calibri" w:eastAsia="Calibri" w:hAnsi="Calibri" w:cs="Calibri"/>
                <w:sz w:val="12"/>
                <w:szCs w:val="12"/>
                <w:lang w:val="sv-SE"/>
              </w:rPr>
              <w:t>0</w:t>
            </w:r>
          </w:p>
        </w:tc>
        <w:tc>
          <w:tcPr>
            <w:tcW w:w="426" w:type="dxa"/>
            <w:tcBorders>
              <w:top w:val="nil"/>
              <w:left w:val="nil"/>
              <w:bottom w:val="single" w:sz="8" w:space="0" w:color="auto"/>
              <w:right w:val="single" w:sz="8" w:space="0" w:color="auto"/>
            </w:tcBorders>
          </w:tcPr>
          <w:p w14:paraId="28604038" w14:textId="77777777" w:rsidR="00B83EFD" w:rsidRPr="0047424F" w:rsidRDefault="00B83EFD" w:rsidP="004664A7">
            <w:pPr>
              <w:jc w:val="center"/>
              <w:rPr>
                <w:rFonts w:ascii="Calibri" w:eastAsia="Calibri" w:hAnsi="Calibri" w:cs="Calibri"/>
                <w:sz w:val="12"/>
                <w:szCs w:val="12"/>
                <w:lang w:val="sv-SE"/>
              </w:rPr>
            </w:pPr>
          </w:p>
        </w:tc>
        <w:tc>
          <w:tcPr>
            <w:tcW w:w="426" w:type="dxa"/>
            <w:tcBorders>
              <w:top w:val="nil"/>
              <w:left w:val="nil"/>
              <w:bottom w:val="single" w:sz="8" w:space="0" w:color="auto"/>
              <w:right w:val="single" w:sz="8" w:space="0" w:color="auto"/>
            </w:tcBorders>
          </w:tcPr>
          <w:p w14:paraId="23245491" w14:textId="77777777" w:rsidR="00B83EFD" w:rsidRPr="0047424F" w:rsidRDefault="00B83EFD" w:rsidP="004664A7">
            <w:pPr>
              <w:jc w:val="center"/>
              <w:rPr>
                <w:rFonts w:ascii="Calibri" w:eastAsia="Calibri" w:hAnsi="Calibri" w:cs="Calibri"/>
                <w:sz w:val="12"/>
                <w:szCs w:val="12"/>
                <w:lang w:val="sv-SE"/>
              </w:rPr>
            </w:pPr>
          </w:p>
        </w:tc>
        <w:tc>
          <w:tcPr>
            <w:tcW w:w="426" w:type="dxa"/>
            <w:tcBorders>
              <w:top w:val="nil"/>
              <w:left w:val="nil"/>
              <w:bottom w:val="single" w:sz="8" w:space="0" w:color="auto"/>
              <w:right w:val="single" w:sz="8" w:space="0" w:color="auto"/>
            </w:tcBorders>
          </w:tcPr>
          <w:p w14:paraId="5F77BD28" w14:textId="77777777" w:rsidR="00B83EFD" w:rsidRPr="0047424F" w:rsidRDefault="00B83EFD" w:rsidP="004664A7">
            <w:pPr>
              <w:jc w:val="center"/>
              <w:rPr>
                <w:rFonts w:ascii="Calibri" w:eastAsia="Calibri" w:hAnsi="Calibri" w:cs="Calibri"/>
                <w:sz w:val="12"/>
                <w:szCs w:val="12"/>
                <w:lang w:val="sv-SE"/>
              </w:rPr>
            </w:pPr>
          </w:p>
        </w:tc>
        <w:tc>
          <w:tcPr>
            <w:tcW w:w="426" w:type="dxa"/>
            <w:tcBorders>
              <w:top w:val="nil"/>
              <w:left w:val="nil"/>
              <w:bottom w:val="single" w:sz="8" w:space="0" w:color="auto"/>
              <w:right w:val="single" w:sz="8" w:space="0" w:color="auto"/>
            </w:tcBorders>
          </w:tcPr>
          <w:p w14:paraId="0EA710AC" w14:textId="77777777" w:rsidR="00B83EFD" w:rsidRPr="0047424F" w:rsidRDefault="00B83EFD" w:rsidP="004664A7">
            <w:pPr>
              <w:jc w:val="center"/>
              <w:rPr>
                <w:rFonts w:ascii="Calibri" w:eastAsia="Calibri" w:hAnsi="Calibri" w:cs="Calibri"/>
                <w:sz w:val="12"/>
                <w:szCs w:val="12"/>
                <w:lang w:val="sv-SE"/>
              </w:rPr>
            </w:pPr>
          </w:p>
        </w:tc>
        <w:tc>
          <w:tcPr>
            <w:tcW w:w="426" w:type="dxa"/>
            <w:tcBorders>
              <w:top w:val="nil"/>
              <w:left w:val="nil"/>
              <w:bottom w:val="single" w:sz="8" w:space="0" w:color="auto"/>
              <w:right w:val="single" w:sz="8" w:space="0" w:color="auto"/>
            </w:tcBorders>
          </w:tcPr>
          <w:p w14:paraId="2C571ECC" w14:textId="77777777" w:rsidR="00B83EFD" w:rsidRPr="0047424F" w:rsidRDefault="00B83EFD" w:rsidP="004664A7">
            <w:pPr>
              <w:jc w:val="center"/>
              <w:rPr>
                <w:rFonts w:ascii="Calibri" w:eastAsia="Calibri" w:hAnsi="Calibri" w:cs="Calibri"/>
                <w:sz w:val="12"/>
                <w:szCs w:val="12"/>
                <w:lang w:val="sv-SE"/>
              </w:rPr>
            </w:pPr>
          </w:p>
        </w:tc>
        <w:tc>
          <w:tcPr>
            <w:tcW w:w="426" w:type="dxa"/>
            <w:tcBorders>
              <w:top w:val="single" w:sz="8" w:space="0" w:color="auto"/>
              <w:left w:val="nil"/>
              <w:bottom w:val="single" w:sz="8" w:space="0" w:color="auto"/>
              <w:right w:val="single" w:sz="8" w:space="0" w:color="auto"/>
            </w:tcBorders>
            <w:shd w:val="clear" w:color="auto" w:fill="92D050"/>
          </w:tcPr>
          <w:p w14:paraId="72A4B329" w14:textId="269738FC" w:rsidR="00B83EFD" w:rsidRPr="0047424F" w:rsidRDefault="00B83EFD" w:rsidP="004664A7">
            <w:pPr>
              <w:jc w:val="center"/>
              <w:rPr>
                <w:rFonts w:ascii="Calibri" w:eastAsia="Calibri" w:hAnsi="Calibri" w:cs="Calibri"/>
                <w:sz w:val="12"/>
                <w:szCs w:val="12"/>
                <w:lang w:val="sv-SE"/>
              </w:rPr>
            </w:pPr>
            <w:r>
              <w:rPr>
                <w:rFonts w:ascii="Calibri" w:eastAsia="Calibri" w:hAnsi="Calibri" w:cs="Calibri"/>
                <w:sz w:val="12"/>
                <w:szCs w:val="12"/>
                <w:lang w:val="sv-SE"/>
              </w:rPr>
              <w:t>0</w:t>
            </w:r>
          </w:p>
        </w:tc>
        <w:tc>
          <w:tcPr>
            <w:tcW w:w="426" w:type="dxa"/>
            <w:tcBorders>
              <w:top w:val="nil"/>
              <w:left w:val="nil"/>
              <w:bottom w:val="single" w:sz="8" w:space="0" w:color="auto"/>
              <w:right w:val="single" w:sz="8" w:space="0" w:color="auto"/>
            </w:tcBorders>
          </w:tcPr>
          <w:p w14:paraId="7F9A5771" w14:textId="77777777" w:rsidR="00B83EFD" w:rsidRPr="0047424F" w:rsidRDefault="00B83EFD" w:rsidP="004664A7">
            <w:pPr>
              <w:jc w:val="center"/>
              <w:rPr>
                <w:rFonts w:ascii="Calibri" w:eastAsia="Calibri" w:hAnsi="Calibri" w:cs="Calibri"/>
                <w:sz w:val="12"/>
                <w:szCs w:val="12"/>
                <w:lang w:val="sv-SE"/>
              </w:rPr>
            </w:pPr>
          </w:p>
        </w:tc>
        <w:tc>
          <w:tcPr>
            <w:tcW w:w="426" w:type="dxa"/>
            <w:tcBorders>
              <w:top w:val="nil"/>
              <w:left w:val="nil"/>
              <w:bottom w:val="single" w:sz="8" w:space="0" w:color="auto"/>
              <w:right w:val="single" w:sz="8" w:space="0" w:color="auto"/>
            </w:tcBorders>
          </w:tcPr>
          <w:p w14:paraId="3CE970B3" w14:textId="77777777" w:rsidR="00B83EFD" w:rsidRPr="0047424F" w:rsidRDefault="00B83EFD" w:rsidP="004664A7">
            <w:pPr>
              <w:jc w:val="center"/>
              <w:rPr>
                <w:rFonts w:ascii="Calibri" w:eastAsia="Calibri" w:hAnsi="Calibri" w:cs="Calibri"/>
                <w:sz w:val="12"/>
                <w:szCs w:val="12"/>
                <w:lang w:val="sv-SE"/>
              </w:rPr>
            </w:pPr>
          </w:p>
        </w:tc>
        <w:tc>
          <w:tcPr>
            <w:tcW w:w="426" w:type="dxa"/>
            <w:tcBorders>
              <w:top w:val="nil"/>
              <w:left w:val="nil"/>
              <w:bottom w:val="single" w:sz="8" w:space="0" w:color="auto"/>
              <w:right w:val="single" w:sz="8" w:space="0" w:color="auto"/>
            </w:tcBorders>
          </w:tcPr>
          <w:p w14:paraId="06561832" w14:textId="77777777" w:rsidR="00B83EFD" w:rsidRPr="0047424F" w:rsidRDefault="00B83EFD" w:rsidP="004664A7">
            <w:pPr>
              <w:jc w:val="center"/>
              <w:rPr>
                <w:rFonts w:ascii="Calibri" w:eastAsia="Calibri" w:hAnsi="Calibri" w:cs="Calibri"/>
                <w:sz w:val="12"/>
                <w:szCs w:val="12"/>
                <w:lang w:val="sv-SE"/>
              </w:rPr>
            </w:pPr>
          </w:p>
        </w:tc>
      </w:tr>
      <w:tr w:rsidR="00B83EFD" w:rsidRPr="0047424F" w14:paraId="5E6FC1E6" w14:textId="29D54A76" w:rsidTr="00B83EFD">
        <w:trPr>
          <w:trHeight w:val="168"/>
        </w:trPr>
        <w:tc>
          <w:tcPr>
            <w:tcW w:w="247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CFB228" w14:textId="77777777" w:rsidR="00B83EFD" w:rsidRPr="0047424F" w:rsidRDefault="00B83EFD" w:rsidP="004664A7">
            <w:pPr>
              <w:rPr>
                <w:rFonts w:ascii="Calibri" w:eastAsia="Calibri" w:hAnsi="Calibri" w:cs="Calibri"/>
                <w:sz w:val="12"/>
                <w:szCs w:val="12"/>
                <w:lang w:val="sv-SE"/>
              </w:rPr>
            </w:pPr>
            <w:r w:rsidRPr="0047424F">
              <w:rPr>
                <w:rFonts w:ascii="Calibri" w:eastAsia="Calibri" w:hAnsi="Calibri" w:cs="Calibri"/>
                <w:sz w:val="12"/>
                <w:szCs w:val="12"/>
                <w:lang w:val="sv-SE"/>
              </w:rPr>
              <w:t>PDSCH</w:t>
            </w:r>
          </w:p>
        </w:tc>
        <w:tc>
          <w:tcPr>
            <w:tcW w:w="430" w:type="dxa"/>
            <w:tcBorders>
              <w:top w:val="nil"/>
              <w:left w:val="nil"/>
              <w:bottom w:val="single" w:sz="8" w:space="0" w:color="auto"/>
              <w:right w:val="single" w:sz="8" w:space="0" w:color="auto"/>
            </w:tcBorders>
            <w:tcMar>
              <w:top w:w="0" w:type="dxa"/>
              <w:left w:w="108" w:type="dxa"/>
              <w:bottom w:w="0" w:type="dxa"/>
              <w:right w:w="108" w:type="dxa"/>
            </w:tcMar>
            <w:hideMark/>
          </w:tcPr>
          <w:p w14:paraId="2DF2502B" w14:textId="77777777" w:rsidR="00B83EFD" w:rsidRPr="0047424F" w:rsidRDefault="00B83EFD" w:rsidP="004664A7">
            <w:pPr>
              <w:jc w:val="center"/>
              <w:rPr>
                <w:rFonts w:ascii="Calibri" w:eastAsia="Calibri" w:hAnsi="Calibri" w:cs="Calibri"/>
                <w:sz w:val="12"/>
                <w:szCs w:val="12"/>
                <w:lang w:val="sv-SE"/>
              </w:rPr>
            </w:pPr>
          </w:p>
        </w:tc>
        <w:tc>
          <w:tcPr>
            <w:tcW w:w="449" w:type="dxa"/>
            <w:tcBorders>
              <w:top w:val="nil"/>
              <w:left w:val="nil"/>
              <w:bottom w:val="single" w:sz="8" w:space="0" w:color="auto"/>
              <w:right w:val="single" w:sz="8" w:space="0" w:color="auto"/>
            </w:tcBorders>
            <w:tcMar>
              <w:top w:w="0" w:type="dxa"/>
              <w:left w:w="108" w:type="dxa"/>
              <w:bottom w:w="0" w:type="dxa"/>
              <w:right w:w="108" w:type="dxa"/>
            </w:tcMar>
            <w:hideMark/>
          </w:tcPr>
          <w:p w14:paraId="43FA5ED5" w14:textId="77777777" w:rsidR="00B83EFD" w:rsidRPr="0047424F" w:rsidRDefault="00B83EFD" w:rsidP="004664A7">
            <w:pPr>
              <w:jc w:val="center"/>
              <w:rPr>
                <w:rFonts w:eastAsia="Times New Roman"/>
                <w:sz w:val="12"/>
                <w:szCs w:val="12"/>
                <w:lang w:val="sv-SE" w:eastAsia="sv-SE"/>
              </w:rPr>
            </w:pPr>
          </w:p>
        </w:tc>
        <w:tc>
          <w:tcPr>
            <w:tcW w:w="437"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hideMark/>
          </w:tcPr>
          <w:p w14:paraId="7714E9B7" w14:textId="77777777" w:rsidR="00B83EFD" w:rsidRPr="0047424F" w:rsidRDefault="00B83EFD" w:rsidP="004664A7">
            <w:pPr>
              <w:jc w:val="center"/>
              <w:rPr>
                <w:rFonts w:ascii="Calibri" w:eastAsia="Calibri" w:hAnsi="Calibri" w:cs="Calibri"/>
                <w:sz w:val="12"/>
                <w:szCs w:val="12"/>
                <w:lang w:val="sv-SE"/>
              </w:rPr>
            </w:pPr>
            <w:r w:rsidRPr="0047424F">
              <w:rPr>
                <w:rFonts w:ascii="Calibri" w:eastAsia="Calibri" w:hAnsi="Calibri" w:cs="Calibri"/>
                <w:sz w:val="12"/>
                <w:szCs w:val="12"/>
                <w:lang w:val="sv-SE"/>
              </w:rPr>
              <w:t>0</w:t>
            </w:r>
          </w:p>
        </w:tc>
        <w:tc>
          <w:tcPr>
            <w:tcW w:w="447" w:type="dxa"/>
            <w:tcBorders>
              <w:top w:val="nil"/>
              <w:left w:val="nil"/>
              <w:bottom w:val="single" w:sz="8" w:space="0" w:color="auto"/>
              <w:right w:val="single" w:sz="8" w:space="0" w:color="auto"/>
            </w:tcBorders>
            <w:tcMar>
              <w:top w:w="0" w:type="dxa"/>
              <w:left w:w="108" w:type="dxa"/>
              <w:bottom w:w="0" w:type="dxa"/>
              <w:right w:w="108" w:type="dxa"/>
            </w:tcMar>
          </w:tcPr>
          <w:p w14:paraId="78571799" w14:textId="77777777" w:rsidR="00B83EFD" w:rsidRPr="0047424F" w:rsidRDefault="00B83EFD" w:rsidP="004664A7">
            <w:pPr>
              <w:jc w:val="center"/>
              <w:rPr>
                <w:rFonts w:ascii="Calibri" w:eastAsia="Calibri" w:hAnsi="Calibri" w:cs="Calibri"/>
                <w:sz w:val="12"/>
                <w:szCs w:val="12"/>
                <w:lang w:val="sv-SE"/>
              </w:rPr>
            </w:pP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40314E2E" w14:textId="77777777" w:rsidR="00B83EFD" w:rsidRPr="0047424F" w:rsidRDefault="00B83EFD" w:rsidP="004664A7">
            <w:pPr>
              <w:jc w:val="center"/>
              <w:rPr>
                <w:rFonts w:ascii="Calibri" w:eastAsia="Calibri" w:hAnsi="Calibri" w:cs="Calibri"/>
                <w:sz w:val="12"/>
                <w:szCs w:val="12"/>
                <w:lang w:val="sv-SE"/>
              </w:rPr>
            </w:pPr>
          </w:p>
        </w:tc>
        <w:tc>
          <w:tcPr>
            <w:tcW w:w="426" w:type="dxa"/>
            <w:tcBorders>
              <w:top w:val="nil"/>
              <w:left w:val="nil"/>
              <w:bottom w:val="single" w:sz="8" w:space="0" w:color="auto"/>
              <w:right w:val="single" w:sz="8" w:space="0" w:color="auto"/>
            </w:tcBorders>
            <w:tcMar>
              <w:top w:w="0" w:type="dxa"/>
              <w:left w:w="108" w:type="dxa"/>
              <w:bottom w:w="0" w:type="dxa"/>
              <w:right w:w="108" w:type="dxa"/>
            </w:tcMar>
          </w:tcPr>
          <w:p w14:paraId="3E910F75" w14:textId="77777777" w:rsidR="00B83EFD" w:rsidRPr="0047424F" w:rsidRDefault="00B83EFD" w:rsidP="004664A7">
            <w:pPr>
              <w:jc w:val="center"/>
              <w:rPr>
                <w:rFonts w:ascii="Calibri" w:eastAsia="Calibri" w:hAnsi="Calibri" w:cs="Calibri"/>
                <w:sz w:val="12"/>
                <w:szCs w:val="12"/>
                <w:lang w:val="sv-SE"/>
              </w:rPr>
            </w:pPr>
          </w:p>
        </w:tc>
        <w:tc>
          <w:tcPr>
            <w:tcW w:w="426" w:type="dxa"/>
            <w:tcBorders>
              <w:top w:val="nil"/>
              <w:left w:val="nil"/>
              <w:bottom w:val="single" w:sz="8" w:space="0" w:color="auto"/>
              <w:right w:val="single" w:sz="8" w:space="0" w:color="auto"/>
            </w:tcBorders>
            <w:tcMar>
              <w:top w:w="0" w:type="dxa"/>
              <w:left w:w="108" w:type="dxa"/>
              <w:bottom w:w="0" w:type="dxa"/>
              <w:right w:w="108" w:type="dxa"/>
            </w:tcMar>
          </w:tcPr>
          <w:p w14:paraId="5E0ABFB0" w14:textId="77777777" w:rsidR="00B83EFD" w:rsidRPr="0047424F" w:rsidRDefault="00B83EFD" w:rsidP="004664A7">
            <w:pPr>
              <w:jc w:val="center"/>
              <w:rPr>
                <w:rFonts w:ascii="Calibri" w:eastAsia="Calibri" w:hAnsi="Calibri" w:cs="Calibri"/>
                <w:sz w:val="12"/>
                <w:szCs w:val="12"/>
                <w:lang w:val="sv-SE"/>
              </w:rPr>
            </w:pPr>
          </w:p>
        </w:tc>
        <w:tc>
          <w:tcPr>
            <w:tcW w:w="426" w:type="dxa"/>
            <w:tcBorders>
              <w:top w:val="nil"/>
              <w:left w:val="nil"/>
              <w:bottom w:val="single" w:sz="8" w:space="0" w:color="auto"/>
              <w:right w:val="single" w:sz="8" w:space="0" w:color="auto"/>
            </w:tcBorders>
          </w:tcPr>
          <w:p w14:paraId="5C1E776B" w14:textId="77777777" w:rsidR="00B83EFD" w:rsidRPr="0047424F" w:rsidRDefault="00B83EFD" w:rsidP="004664A7">
            <w:pPr>
              <w:jc w:val="center"/>
              <w:rPr>
                <w:rFonts w:ascii="Calibri" w:eastAsia="Calibri" w:hAnsi="Calibri" w:cs="Calibri"/>
                <w:sz w:val="12"/>
                <w:szCs w:val="12"/>
                <w:lang w:val="sv-SE"/>
              </w:rPr>
            </w:pPr>
          </w:p>
        </w:tc>
        <w:tc>
          <w:tcPr>
            <w:tcW w:w="426" w:type="dxa"/>
            <w:tcBorders>
              <w:top w:val="single" w:sz="8" w:space="0" w:color="auto"/>
              <w:left w:val="nil"/>
              <w:bottom w:val="single" w:sz="8" w:space="0" w:color="auto"/>
              <w:right w:val="single" w:sz="8" w:space="0" w:color="auto"/>
            </w:tcBorders>
            <w:shd w:val="clear" w:color="auto" w:fill="00B0F0"/>
          </w:tcPr>
          <w:p w14:paraId="697CC04C" w14:textId="7424106E" w:rsidR="00B83EFD" w:rsidRPr="0047424F" w:rsidRDefault="00B83EFD" w:rsidP="004664A7">
            <w:pPr>
              <w:jc w:val="center"/>
              <w:rPr>
                <w:rFonts w:ascii="Calibri" w:eastAsia="Calibri" w:hAnsi="Calibri" w:cs="Calibri"/>
                <w:sz w:val="12"/>
                <w:szCs w:val="12"/>
                <w:lang w:val="sv-SE"/>
              </w:rPr>
            </w:pPr>
            <w:r>
              <w:rPr>
                <w:rFonts w:ascii="Calibri" w:eastAsia="Calibri" w:hAnsi="Calibri" w:cs="Calibri"/>
                <w:sz w:val="12"/>
                <w:szCs w:val="12"/>
                <w:lang w:val="sv-SE"/>
              </w:rPr>
              <w:t>0</w:t>
            </w:r>
          </w:p>
        </w:tc>
        <w:tc>
          <w:tcPr>
            <w:tcW w:w="426" w:type="dxa"/>
            <w:tcBorders>
              <w:top w:val="nil"/>
              <w:left w:val="nil"/>
              <w:bottom w:val="single" w:sz="8" w:space="0" w:color="auto"/>
              <w:right w:val="single" w:sz="8" w:space="0" w:color="auto"/>
            </w:tcBorders>
          </w:tcPr>
          <w:p w14:paraId="7D5D6719" w14:textId="77777777" w:rsidR="00B83EFD" w:rsidRPr="0047424F" w:rsidRDefault="00B83EFD" w:rsidP="004664A7">
            <w:pPr>
              <w:jc w:val="center"/>
              <w:rPr>
                <w:rFonts w:ascii="Calibri" w:eastAsia="Calibri" w:hAnsi="Calibri" w:cs="Calibri"/>
                <w:sz w:val="12"/>
                <w:szCs w:val="12"/>
                <w:lang w:val="sv-SE"/>
              </w:rPr>
            </w:pPr>
          </w:p>
        </w:tc>
        <w:tc>
          <w:tcPr>
            <w:tcW w:w="426" w:type="dxa"/>
            <w:tcBorders>
              <w:top w:val="nil"/>
              <w:left w:val="nil"/>
              <w:bottom w:val="single" w:sz="8" w:space="0" w:color="auto"/>
              <w:right w:val="single" w:sz="8" w:space="0" w:color="auto"/>
            </w:tcBorders>
          </w:tcPr>
          <w:p w14:paraId="22333D14" w14:textId="77777777" w:rsidR="00B83EFD" w:rsidRPr="0047424F" w:rsidRDefault="00B83EFD" w:rsidP="004664A7">
            <w:pPr>
              <w:jc w:val="center"/>
              <w:rPr>
                <w:rFonts w:ascii="Calibri" w:eastAsia="Calibri" w:hAnsi="Calibri" w:cs="Calibri"/>
                <w:sz w:val="12"/>
                <w:szCs w:val="12"/>
                <w:lang w:val="sv-SE"/>
              </w:rPr>
            </w:pPr>
          </w:p>
        </w:tc>
        <w:tc>
          <w:tcPr>
            <w:tcW w:w="426" w:type="dxa"/>
            <w:tcBorders>
              <w:top w:val="nil"/>
              <w:left w:val="nil"/>
              <w:bottom w:val="single" w:sz="8" w:space="0" w:color="auto"/>
              <w:right w:val="single" w:sz="8" w:space="0" w:color="auto"/>
            </w:tcBorders>
          </w:tcPr>
          <w:p w14:paraId="0987A3B1" w14:textId="77777777" w:rsidR="00B83EFD" w:rsidRPr="0047424F" w:rsidRDefault="00B83EFD" w:rsidP="004664A7">
            <w:pPr>
              <w:jc w:val="center"/>
              <w:rPr>
                <w:rFonts w:ascii="Calibri" w:eastAsia="Calibri" w:hAnsi="Calibri" w:cs="Calibri"/>
                <w:sz w:val="12"/>
                <w:szCs w:val="12"/>
                <w:lang w:val="sv-SE"/>
              </w:rPr>
            </w:pPr>
          </w:p>
        </w:tc>
        <w:tc>
          <w:tcPr>
            <w:tcW w:w="426" w:type="dxa"/>
            <w:tcBorders>
              <w:top w:val="nil"/>
              <w:left w:val="nil"/>
              <w:bottom w:val="single" w:sz="8" w:space="0" w:color="auto"/>
              <w:right w:val="single" w:sz="8" w:space="0" w:color="auto"/>
            </w:tcBorders>
          </w:tcPr>
          <w:p w14:paraId="12D06811" w14:textId="77777777" w:rsidR="00B83EFD" w:rsidRPr="0047424F" w:rsidRDefault="00B83EFD" w:rsidP="004664A7">
            <w:pPr>
              <w:jc w:val="center"/>
              <w:rPr>
                <w:rFonts w:ascii="Calibri" w:eastAsia="Calibri" w:hAnsi="Calibri" w:cs="Calibri"/>
                <w:sz w:val="12"/>
                <w:szCs w:val="12"/>
                <w:lang w:val="sv-SE"/>
              </w:rPr>
            </w:pPr>
          </w:p>
        </w:tc>
        <w:tc>
          <w:tcPr>
            <w:tcW w:w="426" w:type="dxa"/>
            <w:tcBorders>
              <w:top w:val="nil"/>
              <w:left w:val="nil"/>
              <w:bottom w:val="single" w:sz="8" w:space="0" w:color="auto"/>
              <w:right w:val="single" w:sz="8" w:space="0" w:color="auto"/>
            </w:tcBorders>
          </w:tcPr>
          <w:p w14:paraId="764AE39B" w14:textId="77777777" w:rsidR="00B83EFD" w:rsidRPr="0047424F" w:rsidRDefault="00B83EFD" w:rsidP="004664A7">
            <w:pPr>
              <w:jc w:val="center"/>
              <w:rPr>
                <w:rFonts w:ascii="Calibri" w:eastAsia="Calibri" w:hAnsi="Calibri" w:cs="Calibri"/>
                <w:sz w:val="12"/>
                <w:szCs w:val="12"/>
                <w:lang w:val="sv-SE"/>
              </w:rPr>
            </w:pPr>
          </w:p>
        </w:tc>
        <w:tc>
          <w:tcPr>
            <w:tcW w:w="426" w:type="dxa"/>
            <w:tcBorders>
              <w:top w:val="single" w:sz="8" w:space="0" w:color="auto"/>
              <w:left w:val="nil"/>
              <w:bottom w:val="single" w:sz="8" w:space="0" w:color="auto"/>
              <w:right w:val="single" w:sz="8" w:space="0" w:color="auto"/>
            </w:tcBorders>
            <w:shd w:val="clear" w:color="auto" w:fill="00B0F0"/>
          </w:tcPr>
          <w:p w14:paraId="1662BFEC" w14:textId="1271DA1D" w:rsidR="00B83EFD" w:rsidRPr="0047424F" w:rsidRDefault="00B83EFD" w:rsidP="004664A7">
            <w:pPr>
              <w:jc w:val="center"/>
              <w:rPr>
                <w:rFonts w:ascii="Calibri" w:eastAsia="Calibri" w:hAnsi="Calibri" w:cs="Calibri"/>
                <w:sz w:val="12"/>
                <w:szCs w:val="12"/>
                <w:lang w:val="sv-SE"/>
              </w:rPr>
            </w:pPr>
            <w:r>
              <w:rPr>
                <w:rFonts w:ascii="Calibri" w:eastAsia="Calibri" w:hAnsi="Calibri" w:cs="Calibri"/>
                <w:sz w:val="12"/>
                <w:szCs w:val="12"/>
                <w:lang w:val="sv-SE"/>
              </w:rPr>
              <w:t>0</w:t>
            </w:r>
          </w:p>
        </w:tc>
        <w:tc>
          <w:tcPr>
            <w:tcW w:w="426" w:type="dxa"/>
            <w:tcBorders>
              <w:top w:val="nil"/>
              <w:left w:val="nil"/>
              <w:bottom w:val="single" w:sz="8" w:space="0" w:color="auto"/>
              <w:right w:val="single" w:sz="8" w:space="0" w:color="auto"/>
            </w:tcBorders>
          </w:tcPr>
          <w:p w14:paraId="769649CF" w14:textId="77777777" w:rsidR="00B83EFD" w:rsidRPr="0047424F" w:rsidRDefault="00B83EFD" w:rsidP="004664A7">
            <w:pPr>
              <w:jc w:val="center"/>
              <w:rPr>
                <w:rFonts w:ascii="Calibri" w:eastAsia="Calibri" w:hAnsi="Calibri" w:cs="Calibri"/>
                <w:sz w:val="12"/>
                <w:szCs w:val="12"/>
                <w:lang w:val="sv-SE"/>
              </w:rPr>
            </w:pPr>
          </w:p>
        </w:tc>
      </w:tr>
      <w:tr w:rsidR="00B83EFD" w:rsidRPr="0047424F" w14:paraId="4AC89CB3" w14:textId="71CF1010" w:rsidTr="00B83EFD">
        <w:trPr>
          <w:trHeight w:val="245"/>
        </w:trPr>
        <w:tc>
          <w:tcPr>
            <w:tcW w:w="1243" w:type="dxa"/>
            <w:vMerge w:val="restart"/>
            <w:tcBorders>
              <w:top w:val="nil"/>
              <w:left w:val="single" w:sz="8" w:space="0" w:color="auto"/>
              <w:bottom w:val="single" w:sz="8" w:space="0" w:color="4472C4"/>
              <w:right w:val="single" w:sz="8" w:space="0" w:color="auto"/>
            </w:tcBorders>
            <w:tcMar>
              <w:top w:w="0" w:type="dxa"/>
              <w:left w:w="108" w:type="dxa"/>
              <w:bottom w:w="0" w:type="dxa"/>
              <w:right w:w="108" w:type="dxa"/>
            </w:tcMar>
            <w:hideMark/>
          </w:tcPr>
          <w:p w14:paraId="50E5A1DD" w14:textId="77777777" w:rsidR="00B83EFD" w:rsidRPr="0047424F" w:rsidRDefault="00B83EFD" w:rsidP="004664A7">
            <w:pPr>
              <w:rPr>
                <w:rFonts w:ascii="Calibri" w:eastAsia="Calibri" w:hAnsi="Calibri" w:cs="Calibri"/>
                <w:sz w:val="12"/>
                <w:szCs w:val="12"/>
                <w:lang w:val="sv-SE"/>
              </w:rPr>
            </w:pPr>
            <w:r w:rsidRPr="0047424F">
              <w:rPr>
                <w:rFonts w:ascii="Calibri" w:eastAsia="Calibri" w:hAnsi="Calibri" w:cs="Calibri"/>
                <w:sz w:val="12"/>
                <w:szCs w:val="12"/>
              </w:rPr>
              <w:t>For HARQ Process #0</w:t>
            </w:r>
          </w:p>
        </w:tc>
        <w:tc>
          <w:tcPr>
            <w:tcW w:w="1236" w:type="dxa"/>
            <w:tcBorders>
              <w:top w:val="nil"/>
              <w:left w:val="nil"/>
              <w:bottom w:val="single" w:sz="8" w:space="0" w:color="4472C4"/>
              <w:right w:val="single" w:sz="8" w:space="0" w:color="auto"/>
            </w:tcBorders>
            <w:hideMark/>
          </w:tcPr>
          <w:p w14:paraId="147F6D1C" w14:textId="77777777" w:rsidR="00B83EFD" w:rsidRPr="0047424F" w:rsidRDefault="00B83EFD" w:rsidP="004664A7">
            <w:pPr>
              <w:rPr>
                <w:rFonts w:ascii="Calibri" w:eastAsia="Calibri" w:hAnsi="Calibri" w:cs="Calibri"/>
                <w:sz w:val="12"/>
                <w:szCs w:val="12"/>
                <w:lang w:val="sv-SE"/>
              </w:rPr>
            </w:pPr>
            <w:r w:rsidRPr="0047424F">
              <w:rPr>
                <w:rFonts w:ascii="Calibri" w:eastAsia="Calibri" w:hAnsi="Calibri" w:cs="Calibri"/>
                <w:sz w:val="12"/>
                <w:szCs w:val="12"/>
              </w:rPr>
              <w:t>MDPCCH to PDSCH delay</w:t>
            </w:r>
          </w:p>
        </w:tc>
        <w:tc>
          <w:tcPr>
            <w:tcW w:w="430" w:type="dxa"/>
            <w:tcBorders>
              <w:top w:val="nil"/>
              <w:left w:val="nil"/>
              <w:bottom w:val="single" w:sz="8" w:space="0" w:color="4472C4"/>
              <w:right w:val="single" w:sz="8" w:space="0" w:color="auto"/>
            </w:tcBorders>
            <w:tcMar>
              <w:top w:w="0" w:type="dxa"/>
              <w:left w:w="108" w:type="dxa"/>
              <w:bottom w:w="0" w:type="dxa"/>
              <w:right w:w="108" w:type="dxa"/>
            </w:tcMar>
          </w:tcPr>
          <w:p w14:paraId="77898C22" w14:textId="77777777" w:rsidR="00B83EFD" w:rsidRPr="0047424F" w:rsidRDefault="00B83EFD" w:rsidP="004664A7">
            <w:pPr>
              <w:jc w:val="center"/>
              <w:rPr>
                <w:rFonts w:ascii="Calibri" w:eastAsia="Calibri" w:hAnsi="Calibri" w:cs="Calibri"/>
                <w:sz w:val="12"/>
                <w:szCs w:val="12"/>
                <w:lang w:val="sv-SE"/>
              </w:rPr>
            </w:pPr>
          </w:p>
        </w:tc>
        <w:tc>
          <w:tcPr>
            <w:tcW w:w="449" w:type="dxa"/>
            <w:tcBorders>
              <w:top w:val="nil"/>
              <w:left w:val="nil"/>
              <w:bottom w:val="single" w:sz="8" w:space="0" w:color="4472C4"/>
              <w:right w:val="single" w:sz="8" w:space="0" w:color="auto"/>
            </w:tcBorders>
            <w:tcMar>
              <w:top w:w="0" w:type="dxa"/>
              <w:left w:w="108" w:type="dxa"/>
              <w:bottom w:w="0" w:type="dxa"/>
              <w:right w:w="108" w:type="dxa"/>
            </w:tcMar>
            <w:hideMark/>
          </w:tcPr>
          <w:p w14:paraId="72D1E0B2" w14:textId="77777777" w:rsidR="00B83EFD" w:rsidRPr="0047424F" w:rsidRDefault="00B83EFD" w:rsidP="004664A7">
            <w:pPr>
              <w:jc w:val="center"/>
              <w:rPr>
                <w:rFonts w:ascii="Calibri" w:eastAsia="Calibri" w:hAnsi="Calibri" w:cs="Calibri"/>
                <w:sz w:val="12"/>
                <w:szCs w:val="12"/>
                <w:lang w:val="sv-SE"/>
              </w:rPr>
            </w:pPr>
            <w:r w:rsidRPr="0047424F">
              <w:rPr>
                <w:rFonts w:ascii="Calibri" w:eastAsia="Calibri" w:hAnsi="Calibri" w:cs="Calibri"/>
                <w:sz w:val="12"/>
                <w:szCs w:val="12"/>
                <w:lang w:val="sv-SE"/>
              </w:rPr>
              <w:t>2ms</w:t>
            </w:r>
          </w:p>
        </w:tc>
        <w:tc>
          <w:tcPr>
            <w:tcW w:w="437" w:type="dxa"/>
            <w:tcBorders>
              <w:top w:val="nil"/>
              <w:left w:val="nil"/>
              <w:bottom w:val="single" w:sz="8" w:space="0" w:color="4472C4"/>
              <w:right w:val="single" w:sz="8" w:space="0" w:color="auto"/>
            </w:tcBorders>
            <w:tcMar>
              <w:top w:w="0" w:type="dxa"/>
              <w:left w:w="108" w:type="dxa"/>
              <w:bottom w:w="0" w:type="dxa"/>
              <w:right w:w="108" w:type="dxa"/>
            </w:tcMar>
          </w:tcPr>
          <w:p w14:paraId="78A5FFAD" w14:textId="77777777" w:rsidR="00B83EFD" w:rsidRPr="0047424F" w:rsidRDefault="00B83EFD" w:rsidP="004664A7">
            <w:pPr>
              <w:jc w:val="center"/>
              <w:rPr>
                <w:rFonts w:ascii="Calibri" w:eastAsia="Calibri" w:hAnsi="Calibri" w:cs="Calibri"/>
                <w:sz w:val="12"/>
                <w:szCs w:val="12"/>
                <w:lang w:val="sv-SE"/>
              </w:rPr>
            </w:pPr>
          </w:p>
        </w:tc>
        <w:tc>
          <w:tcPr>
            <w:tcW w:w="447" w:type="dxa"/>
            <w:tcBorders>
              <w:top w:val="nil"/>
              <w:left w:val="nil"/>
              <w:bottom w:val="single" w:sz="8" w:space="0" w:color="4472C4"/>
              <w:right w:val="single" w:sz="8" w:space="0" w:color="auto"/>
            </w:tcBorders>
            <w:tcMar>
              <w:top w:w="0" w:type="dxa"/>
              <w:left w:w="108" w:type="dxa"/>
              <w:bottom w:w="0" w:type="dxa"/>
              <w:right w:w="108" w:type="dxa"/>
            </w:tcMar>
          </w:tcPr>
          <w:p w14:paraId="134E8929" w14:textId="77777777" w:rsidR="00B83EFD" w:rsidRPr="0047424F" w:rsidRDefault="00B83EFD" w:rsidP="004664A7">
            <w:pPr>
              <w:jc w:val="center"/>
              <w:rPr>
                <w:rFonts w:ascii="Calibri" w:eastAsia="Calibri" w:hAnsi="Calibri" w:cs="Calibri"/>
                <w:sz w:val="12"/>
                <w:szCs w:val="12"/>
                <w:lang w:val="sv-SE"/>
              </w:rPr>
            </w:pPr>
          </w:p>
        </w:tc>
        <w:tc>
          <w:tcPr>
            <w:tcW w:w="425" w:type="dxa"/>
            <w:tcBorders>
              <w:top w:val="nil"/>
              <w:left w:val="nil"/>
              <w:bottom w:val="single" w:sz="8" w:space="0" w:color="4472C4"/>
              <w:right w:val="single" w:sz="8" w:space="0" w:color="auto"/>
            </w:tcBorders>
            <w:tcMar>
              <w:top w:w="0" w:type="dxa"/>
              <w:left w:w="108" w:type="dxa"/>
              <w:bottom w:w="0" w:type="dxa"/>
              <w:right w:w="108" w:type="dxa"/>
            </w:tcMar>
          </w:tcPr>
          <w:p w14:paraId="46F0A05E" w14:textId="77777777" w:rsidR="00B83EFD" w:rsidRPr="0047424F" w:rsidRDefault="00B83EFD" w:rsidP="004664A7">
            <w:pPr>
              <w:jc w:val="center"/>
              <w:rPr>
                <w:rFonts w:ascii="Calibri" w:eastAsia="Calibri" w:hAnsi="Calibri" w:cs="Calibri"/>
                <w:sz w:val="12"/>
                <w:szCs w:val="12"/>
                <w:lang w:val="sv-SE"/>
              </w:rPr>
            </w:pPr>
          </w:p>
        </w:tc>
        <w:tc>
          <w:tcPr>
            <w:tcW w:w="426" w:type="dxa"/>
            <w:tcBorders>
              <w:top w:val="nil"/>
              <w:left w:val="nil"/>
              <w:bottom w:val="single" w:sz="8" w:space="0" w:color="4472C4"/>
              <w:right w:val="single" w:sz="8" w:space="0" w:color="auto"/>
            </w:tcBorders>
            <w:tcMar>
              <w:top w:w="0" w:type="dxa"/>
              <w:left w:w="108" w:type="dxa"/>
              <w:bottom w:w="0" w:type="dxa"/>
              <w:right w:w="108" w:type="dxa"/>
            </w:tcMar>
          </w:tcPr>
          <w:p w14:paraId="18451203" w14:textId="77777777" w:rsidR="00B83EFD" w:rsidRPr="0047424F" w:rsidRDefault="00B83EFD" w:rsidP="004664A7">
            <w:pPr>
              <w:jc w:val="center"/>
              <w:rPr>
                <w:rFonts w:ascii="Calibri" w:eastAsia="Calibri" w:hAnsi="Calibri" w:cs="Calibri"/>
                <w:sz w:val="12"/>
                <w:szCs w:val="12"/>
                <w:lang w:val="sv-SE"/>
              </w:rPr>
            </w:pPr>
          </w:p>
        </w:tc>
        <w:tc>
          <w:tcPr>
            <w:tcW w:w="426" w:type="dxa"/>
            <w:tcBorders>
              <w:top w:val="nil"/>
              <w:left w:val="nil"/>
              <w:bottom w:val="single" w:sz="8" w:space="0" w:color="4472C4"/>
              <w:right w:val="single" w:sz="8" w:space="0" w:color="auto"/>
            </w:tcBorders>
            <w:tcMar>
              <w:top w:w="0" w:type="dxa"/>
              <w:left w:w="108" w:type="dxa"/>
              <w:bottom w:w="0" w:type="dxa"/>
              <w:right w:w="108" w:type="dxa"/>
            </w:tcMar>
          </w:tcPr>
          <w:p w14:paraId="2CD0CB17" w14:textId="77777777" w:rsidR="00B83EFD" w:rsidRPr="0047424F" w:rsidRDefault="00B83EFD" w:rsidP="004664A7">
            <w:pPr>
              <w:jc w:val="center"/>
              <w:rPr>
                <w:rFonts w:ascii="Calibri" w:eastAsia="Calibri" w:hAnsi="Calibri" w:cs="Calibri"/>
                <w:sz w:val="12"/>
                <w:szCs w:val="12"/>
                <w:lang w:val="sv-SE"/>
              </w:rPr>
            </w:pPr>
          </w:p>
        </w:tc>
        <w:tc>
          <w:tcPr>
            <w:tcW w:w="426" w:type="dxa"/>
            <w:tcBorders>
              <w:top w:val="nil"/>
              <w:left w:val="nil"/>
              <w:bottom w:val="single" w:sz="8" w:space="0" w:color="4472C4"/>
              <w:right w:val="single" w:sz="8" w:space="0" w:color="auto"/>
            </w:tcBorders>
          </w:tcPr>
          <w:p w14:paraId="70D69130" w14:textId="77777777" w:rsidR="00B83EFD" w:rsidRPr="0047424F" w:rsidRDefault="00B83EFD" w:rsidP="004664A7">
            <w:pPr>
              <w:jc w:val="center"/>
              <w:rPr>
                <w:rFonts w:ascii="Calibri" w:eastAsia="Calibri" w:hAnsi="Calibri" w:cs="Calibri"/>
                <w:sz w:val="12"/>
                <w:szCs w:val="12"/>
                <w:lang w:val="sv-SE"/>
              </w:rPr>
            </w:pPr>
          </w:p>
        </w:tc>
        <w:tc>
          <w:tcPr>
            <w:tcW w:w="426" w:type="dxa"/>
            <w:tcBorders>
              <w:top w:val="nil"/>
              <w:left w:val="nil"/>
              <w:bottom w:val="single" w:sz="8" w:space="0" w:color="4472C4"/>
              <w:right w:val="single" w:sz="8" w:space="0" w:color="auto"/>
            </w:tcBorders>
          </w:tcPr>
          <w:p w14:paraId="1A7DB723" w14:textId="77777777" w:rsidR="00B83EFD" w:rsidRPr="0047424F" w:rsidRDefault="00B83EFD" w:rsidP="004664A7">
            <w:pPr>
              <w:jc w:val="center"/>
              <w:rPr>
                <w:rFonts w:ascii="Calibri" w:eastAsia="Calibri" w:hAnsi="Calibri" w:cs="Calibri"/>
                <w:sz w:val="12"/>
                <w:szCs w:val="12"/>
                <w:lang w:val="sv-SE"/>
              </w:rPr>
            </w:pPr>
          </w:p>
        </w:tc>
        <w:tc>
          <w:tcPr>
            <w:tcW w:w="426" w:type="dxa"/>
            <w:tcBorders>
              <w:top w:val="nil"/>
              <w:left w:val="nil"/>
              <w:bottom w:val="single" w:sz="8" w:space="0" w:color="4472C4"/>
              <w:right w:val="single" w:sz="8" w:space="0" w:color="auto"/>
            </w:tcBorders>
          </w:tcPr>
          <w:p w14:paraId="7E5F3B71" w14:textId="77777777" w:rsidR="00B83EFD" w:rsidRPr="0047424F" w:rsidRDefault="00B83EFD" w:rsidP="004664A7">
            <w:pPr>
              <w:jc w:val="center"/>
              <w:rPr>
                <w:rFonts w:ascii="Calibri" w:eastAsia="Calibri" w:hAnsi="Calibri" w:cs="Calibri"/>
                <w:sz w:val="12"/>
                <w:szCs w:val="12"/>
                <w:lang w:val="sv-SE"/>
              </w:rPr>
            </w:pPr>
          </w:p>
        </w:tc>
        <w:tc>
          <w:tcPr>
            <w:tcW w:w="426" w:type="dxa"/>
            <w:tcBorders>
              <w:top w:val="nil"/>
              <w:left w:val="nil"/>
              <w:bottom w:val="single" w:sz="8" w:space="0" w:color="4472C4"/>
              <w:right w:val="single" w:sz="8" w:space="0" w:color="auto"/>
            </w:tcBorders>
          </w:tcPr>
          <w:p w14:paraId="30B4AD5D" w14:textId="77777777" w:rsidR="00B83EFD" w:rsidRPr="0047424F" w:rsidRDefault="00B83EFD" w:rsidP="004664A7">
            <w:pPr>
              <w:jc w:val="center"/>
              <w:rPr>
                <w:rFonts w:ascii="Calibri" w:eastAsia="Calibri" w:hAnsi="Calibri" w:cs="Calibri"/>
                <w:sz w:val="12"/>
                <w:szCs w:val="12"/>
                <w:lang w:val="sv-SE"/>
              </w:rPr>
            </w:pPr>
          </w:p>
        </w:tc>
        <w:tc>
          <w:tcPr>
            <w:tcW w:w="426" w:type="dxa"/>
            <w:tcBorders>
              <w:top w:val="nil"/>
              <w:left w:val="nil"/>
              <w:bottom w:val="single" w:sz="8" w:space="0" w:color="4472C4"/>
              <w:right w:val="single" w:sz="8" w:space="0" w:color="auto"/>
            </w:tcBorders>
          </w:tcPr>
          <w:p w14:paraId="794CD7F6" w14:textId="77777777" w:rsidR="00B83EFD" w:rsidRPr="0047424F" w:rsidRDefault="00B83EFD" w:rsidP="004664A7">
            <w:pPr>
              <w:jc w:val="center"/>
              <w:rPr>
                <w:rFonts w:ascii="Calibri" w:eastAsia="Calibri" w:hAnsi="Calibri" w:cs="Calibri"/>
                <w:sz w:val="12"/>
                <w:szCs w:val="12"/>
                <w:lang w:val="sv-SE"/>
              </w:rPr>
            </w:pPr>
          </w:p>
        </w:tc>
        <w:tc>
          <w:tcPr>
            <w:tcW w:w="426" w:type="dxa"/>
            <w:tcBorders>
              <w:top w:val="nil"/>
              <w:left w:val="nil"/>
              <w:bottom w:val="single" w:sz="8" w:space="0" w:color="4472C4"/>
              <w:right w:val="single" w:sz="8" w:space="0" w:color="auto"/>
            </w:tcBorders>
          </w:tcPr>
          <w:p w14:paraId="363FC98F" w14:textId="77777777" w:rsidR="00B83EFD" w:rsidRPr="0047424F" w:rsidRDefault="00B83EFD" w:rsidP="004664A7">
            <w:pPr>
              <w:jc w:val="center"/>
              <w:rPr>
                <w:rFonts w:ascii="Calibri" w:eastAsia="Calibri" w:hAnsi="Calibri" w:cs="Calibri"/>
                <w:sz w:val="12"/>
                <w:szCs w:val="12"/>
                <w:lang w:val="sv-SE"/>
              </w:rPr>
            </w:pPr>
          </w:p>
        </w:tc>
        <w:tc>
          <w:tcPr>
            <w:tcW w:w="426" w:type="dxa"/>
            <w:tcBorders>
              <w:top w:val="nil"/>
              <w:left w:val="nil"/>
              <w:bottom w:val="single" w:sz="8" w:space="0" w:color="4472C4"/>
              <w:right w:val="single" w:sz="8" w:space="0" w:color="auto"/>
            </w:tcBorders>
          </w:tcPr>
          <w:p w14:paraId="5EE8E762" w14:textId="77777777" w:rsidR="00B83EFD" w:rsidRPr="0047424F" w:rsidRDefault="00B83EFD" w:rsidP="004664A7">
            <w:pPr>
              <w:jc w:val="center"/>
              <w:rPr>
                <w:rFonts w:ascii="Calibri" w:eastAsia="Calibri" w:hAnsi="Calibri" w:cs="Calibri"/>
                <w:sz w:val="12"/>
                <w:szCs w:val="12"/>
                <w:lang w:val="sv-SE"/>
              </w:rPr>
            </w:pPr>
          </w:p>
        </w:tc>
        <w:tc>
          <w:tcPr>
            <w:tcW w:w="426" w:type="dxa"/>
            <w:tcBorders>
              <w:top w:val="nil"/>
              <w:left w:val="nil"/>
              <w:bottom w:val="single" w:sz="8" w:space="0" w:color="4472C4"/>
              <w:right w:val="single" w:sz="8" w:space="0" w:color="auto"/>
            </w:tcBorders>
          </w:tcPr>
          <w:p w14:paraId="25599345" w14:textId="77777777" w:rsidR="00B83EFD" w:rsidRPr="0047424F" w:rsidRDefault="00B83EFD" w:rsidP="004664A7">
            <w:pPr>
              <w:jc w:val="center"/>
              <w:rPr>
                <w:rFonts w:ascii="Calibri" w:eastAsia="Calibri" w:hAnsi="Calibri" w:cs="Calibri"/>
                <w:sz w:val="12"/>
                <w:szCs w:val="12"/>
                <w:lang w:val="sv-SE"/>
              </w:rPr>
            </w:pPr>
          </w:p>
        </w:tc>
        <w:tc>
          <w:tcPr>
            <w:tcW w:w="426" w:type="dxa"/>
            <w:tcBorders>
              <w:top w:val="nil"/>
              <w:left w:val="nil"/>
              <w:bottom w:val="single" w:sz="8" w:space="0" w:color="4472C4"/>
              <w:right w:val="single" w:sz="8" w:space="0" w:color="auto"/>
            </w:tcBorders>
          </w:tcPr>
          <w:p w14:paraId="2FA8363E" w14:textId="77777777" w:rsidR="00B83EFD" w:rsidRPr="0047424F" w:rsidRDefault="00B83EFD" w:rsidP="004664A7">
            <w:pPr>
              <w:jc w:val="center"/>
              <w:rPr>
                <w:rFonts w:ascii="Calibri" w:eastAsia="Calibri" w:hAnsi="Calibri" w:cs="Calibri"/>
                <w:sz w:val="12"/>
                <w:szCs w:val="12"/>
                <w:lang w:val="sv-SE"/>
              </w:rPr>
            </w:pPr>
          </w:p>
        </w:tc>
      </w:tr>
      <w:tr w:rsidR="00B83EFD" w:rsidRPr="0047424F" w14:paraId="714D27F9" w14:textId="4A672E11" w:rsidTr="00B83EFD">
        <w:trPr>
          <w:trHeight w:val="250"/>
        </w:trPr>
        <w:tc>
          <w:tcPr>
            <w:tcW w:w="1243" w:type="dxa"/>
            <w:vMerge/>
            <w:tcBorders>
              <w:top w:val="nil"/>
              <w:left w:val="single" w:sz="8" w:space="0" w:color="auto"/>
              <w:bottom w:val="single" w:sz="8" w:space="0" w:color="4472C4"/>
              <w:right w:val="single" w:sz="8" w:space="0" w:color="auto"/>
            </w:tcBorders>
            <w:tcMar>
              <w:top w:w="0" w:type="dxa"/>
              <w:left w:w="108" w:type="dxa"/>
              <w:bottom w:w="0" w:type="dxa"/>
              <w:right w:w="108" w:type="dxa"/>
            </w:tcMar>
          </w:tcPr>
          <w:p w14:paraId="0D306C20" w14:textId="77777777" w:rsidR="00B83EFD" w:rsidRPr="0047424F" w:rsidRDefault="00B83EFD" w:rsidP="004664A7">
            <w:pPr>
              <w:rPr>
                <w:rFonts w:ascii="Calibri" w:eastAsia="Calibri" w:hAnsi="Calibri" w:cs="Calibri"/>
                <w:sz w:val="12"/>
                <w:szCs w:val="12"/>
              </w:rPr>
            </w:pPr>
          </w:p>
        </w:tc>
        <w:tc>
          <w:tcPr>
            <w:tcW w:w="1236" w:type="dxa"/>
            <w:tcBorders>
              <w:top w:val="nil"/>
              <w:left w:val="nil"/>
              <w:bottom w:val="single" w:sz="8" w:space="0" w:color="4472C4"/>
              <w:right w:val="single" w:sz="8" w:space="0" w:color="auto"/>
            </w:tcBorders>
          </w:tcPr>
          <w:p w14:paraId="7FAE8330" w14:textId="511CBCD4" w:rsidR="00B83EFD" w:rsidRDefault="00B83EFD" w:rsidP="004664A7">
            <w:pPr>
              <w:rPr>
                <w:rFonts w:ascii="Calibri" w:eastAsia="Calibri" w:hAnsi="Calibri" w:cs="Calibri"/>
                <w:sz w:val="12"/>
                <w:szCs w:val="12"/>
              </w:rPr>
            </w:pPr>
            <w:r w:rsidRPr="0047424F">
              <w:rPr>
                <w:rFonts w:ascii="Calibri" w:eastAsia="Calibri" w:hAnsi="Calibri" w:cs="Calibri"/>
                <w:sz w:val="12"/>
                <w:szCs w:val="12"/>
              </w:rPr>
              <w:t xml:space="preserve">PDSCH to </w:t>
            </w:r>
            <w:r>
              <w:rPr>
                <w:rFonts w:ascii="Calibri" w:eastAsia="Calibri" w:hAnsi="Calibri" w:cs="Calibri"/>
                <w:sz w:val="12"/>
                <w:szCs w:val="12"/>
              </w:rPr>
              <w:t>earliest DL monitoring</w:t>
            </w:r>
            <w:r w:rsidRPr="0047424F">
              <w:rPr>
                <w:rFonts w:ascii="Calibri" w:eastAsia="Calibri" w:hAnsi="Calibri" w:cs="Calibri"/>
                <w:sz w:val="12"/>
                <w:szCs w:val="12"/>
              </w:rPr>
              <w:t xml:space="preserve"> delay</w:t>
            </w:r>
          </w:p>
          <w:p w14:paraId="15B0CD16" w14:textId="23333CC1" w:rsidR="00B83EFD" w:rsidRPr="0047424F" w:rsidRDefault="00B83EFD" w:rsidP="004664A7">
            <w:pPr>
              <w:rPr>
                <w:rFonts w:ascii="Calibri" w:eastAsia="Calibri" w:hAnsi="Calibri" w:cs="Calibri"/>
                <w:sz w:val="12"/>
                <w:szCs w:val="12"/>
              </w:rPr>
            </w:pPr>
            <w:r>
              <w:rPr>
                <w:rFonts w:ascii="Calibri" w:eastAsia="Calibri" w:hAnsi="Calibri" w:cs="Calibri"/>
                <w:sz w:val="12"/>
                <w:szCs w:val="12"/>
              </w:rPr>
              <w:t xml:space="preserve">(Before </w:t>
            </w:r>
            <w:r w:rsidRPr="0047424F">
              <w:rPr>
                <w:rFonts w:ascii="Calibri" w:eastAsia="Calibri" w:hAnsi="Calibri" w:cs="Calibri"/>
                <w:sz w:val="12"/>
                <w:szCs w:val="12"/>
              </w:rPr>
              <w:t>PDSCH to PUCCH delay</w:t>
            </w:r>
            <w:r>
              <w:rPr>
                <w:rFonts w:ascii="Calibri" w:eastAsia="Calibri" w:hAnsi="Calibri" w:cs="Calibri"/>
                <w:sz w:val="12"/>
                <w:szCs w:val="12"/>
              </w:rPr>
              <w:t>)</w:t>
            </w:r>
          </w:p>
        </w:tc>
        <w:tc>
          <w:tcPr>
            <w:tcW w:w="430" w:type="dxa"/>
            <w:tcBorders>
              <w:top w:val="nil"/>
              <w:left w:val="nil"/>
              <w:bottom w:val="single" w:sz="8" w:space="0" w:color="4472C4"/>
              <w:right w:val="single" w:sz="8" w:space="0" w:color="auto"/>
            </w:tcBorders>
            <w:tcMar>
              <w:top w:w="0" w:type="dxa"/>
              <w:left w:w="108" w:type="dxa"/>
              <w:bottom w:w="0" w:type="dxa"/>
              <w:right w:w="108" w:type="dxa"/>
            </w:tcMar>
          </w:tcPr>
          <w:p w14:paraId="3AB88714" w14:textId="77777777" w:rsidR="00B83EFD" w:rsidRPr="00341BBC" w:rsidRDefault="00B83EFD" w:rsidP="004664A7">
            <w:pPr>
              <w:jc w:val="center"/>
              <w:rPr>
                <w:rFonts w:ascii="Calibri" w:eastAsia="Calibri" w:hAnsi="Calibri" w:cs="Calibri"/>
                <w:sz w:val="12"/>
                <w:szCs w:val="12"/>
                <w:lang w:val="en-US"/>
              </w:rPr>
            </w:pPr>
          </w:p>
        </w:tc>
        <w:tc>
          <w:tcPr>
            <w:tcW w:w="449" w:type="dxa"/>
            <w:tcBorders>
              <w:top w:val="nil"/>
              <w:left w:val="nil"/>
              <w:bottom w:val="single" w:sz="8" w:space="0" w:color="4472C4"/>
              <w:right w:val="single" w:sz="8" w:space="0" w:color="auto"/>
            </w:tcBorders>
            <w:tcMar>
              <w:top w:w="0" w:type="dxa"/>
              <w:left w:w="108" w:type="dxa"/>
              <w:bottom w:w="0" w:type="dxa"/>
              <w:right w:w="108" w:type="dxa"/>
            </w:tcMar>
          </w:tcPr>
          <w:p w14:paraId="5422EC0C" w14:textId="77777777" w:rsidR="00B83EFD" w:rsidRPr="00341BBC" w:rsidRDefault="00B83EFD" w:rsidP="004664A7">
            <w:pPr>
              <w:jc w:val="center"/>
              <w:rPr>
                <w:rFonts w:ascii="Calibri" w:eastAsia="Calibri" w:hAnsi="Calibri" w:cs="Calibri"/>
                <w:sz w:val="12"/>
                <w:szCs w:val="12"/>
                <w:lang w:val="en-US"/>
              </w:rPr>
            </w:pPr>
          </w:p>
        </w:tc>
        <w:tc>
          <w:tcPr>
            <w:tcW w:w="437" w:type="dxa"/>
            <w:tcBorders>
              <w:top w:val="nil"/>
              <w:left w:val="nil"/>
              <w:bottom w:val="single" w:sz="8" w:space="0" w:color="4472C4"/>
              <w:right w:val="single" w:sz="8" w:space="0" w:color="auto"/>
            </w:tcBorders>
          </w:tcPr>
          <w:p w14:paraId="5AC663C5" w14:textId="77777777" w:rsidR="00B83EFD" w:rsidRPr="00341BBC" w:rsidRDefault="00B83EFD" w:rsidP="004664A7">
            <w:pPr>
              <w:jc w:val="center"/>
              <w:rPr>
                <w:rFonts w:ascii="Calibri" w:eastAsia="Calibri" w:hAnsi="Calibri" w:cs="Calibri"/>
                <w:sz w:val="12"/>
                <w:szCs w:val="12"/>
                <w:lang w:val="en-US"/>
              </w:rPr>
            </w:pPr>
          </w:p>
        </w:tc>
        <w:tc>
          <w:tcPr>
            <w:tcW w:w="1298" w:type="dxa"/>
            <w:gridSpan w:val="3"/>
            <w:tcBorders>
              <w:top w:val="nil"/>
              <w:left w:val="nil"/>
              <w:bottom w:val="single" w:sz="8" w:space="0" w:color="4472C4"/>
              <w:right w:val="single" w:sz="8" w:space="0" w:color="auto"/>
            </w:tcBorders>
            <w:tcMar>
              <w:top w:w="0" w:type="dxa"/>
              <w:left w:w="108" w:type="dxa"/>
              <w:bottom w:w="0" w:type="dxa"/>
              <w:right w:w="108" w:type="dxa"/>
            </w:tcMar>
          </w:tcPr>
          <w:p w14:paraId="07EE6D7D" w14:textId="2576060F" w:rsidR="00B83EFD" w:rsidRPr="00341BBC" w:rsidRDefault="00091734" w:rsidP="004664A7">
            <w:pPr>
              <w:jc w:val="center"/>
              <w:rPr>
                <w:rFonts w:ascii="Calibri" w:eastAsia="Calibri" w:hAnsi="Calibri" w:cs="Calibri"/>
                <w:sz w:val="12"/>
                <w:szCs w:val="12"/>
                <w:lang w:val="en-US"/>
              </w:rPr>
            </w:pPr>
            <w:r w:rsidRPr="00341BBC">
              <w:rPr>
                <w:rFonts w:ascii="Calibri" w:eastAsia="Calibri" w:hAnsi="Calibri" w:cs="Calibri"/>
                <w:sz w:val="12"/>
                <w:szCs w:val="12"/>
                <w:lang w:val="en-US"/>
              </w:rPr>
              <w:t>3</w:t>
            </w:r>
            <w:r w:rsidR="00B83EFD" w:rsidRPr="00341BBC">
              <w:rPr>
                <w:rFonts w:ascii="Calibri" w:eastAsia="Calibri" w:hAnsi="Calibri" w:cs="Calibri"/>
                <w:sz w:val="12"/>
                <w:szCs w:val="12"/>
                <w:lang w:val="en-US"/>
              </w:rPr>
              <w:t>ms</w:t>
            </w:r>
          </w:p>
          <w:p w14:paraId="60EAFD9E" w14:textId="77777777" w:rsidR="00B83EFD" w:rsidRPr="00341BBC" w:rsidRDefault="00B83EFD" w:rsidP="004664A7">
            <w:pPr>
              <w:jc w:val="center"/>
              <w:rPr>
                <w:rFonts w:ascii="Calibri" w:eastAsia="Calibri" w:hAnsi="Calibri" w:cs="Calibri"/>
                <w:sz w:val="12"/>
                <w:szCs w:val="12"/>
                <w:lang w:val="en-US"/>
              </w:rPr>
            </w:pPr>
            <w:r w:rsidRPr="00341BBC">
              <w:rPr>
                <w:rFonts w:ascii="Calibri" w:eastAsia="Calibri" w:hAnsi="Calibri" w:cs="Calibri"/>
                <w:sz w:val="12"/>
                <w:szCs w:val="12"/>
                <w:lang w:val="en-US"/>
              </w:rPr>
              <w:t>(Includes PDSCH decoding time)</w:t>
            </w:r>
          </w:p>
        </w:tc>
        <w:tc>
          <w:tcPr>
            <w:tcW w:w="426" w:type="dxa"/>
            <w:tcBorders>
              <w:top w:val="nil"/>
              <w:left w:val="nil"/>
              <w:bottom w:val="single" w:sz="8" w:space="0" w:color="4472C4"/>
              <w:right w:val="single" w:sz="8" w:space="0" w:color="auto"/>
            </w:tcBorders>
            <w:tcMar>
              <w:top w:w="0" w:type="dxa"/>
              <w:left w:w="108" w:type="dxa"/>
              <w:bottom w:w="0" w:type="dxa"/>
              <w:right w:w="108" w:type="dxa"/>
            </w:tcMar>
          </w:tcPr>
          <w:p w14:paraId="321092DB" w14:textId="77777777" w:rsidR="00B83EFD" w:rsidRPr="00341BBC" w:rsidRDefault="00B83EFD" w:rsidP="004664A7">
            <w:pPr>
              <w:jc w:val="center"/>
              <w:rPr>
                <w:rFonts w:ascii="Calibri" w:eastAsia="Calibri" w:hAnsi="Calibri" w:cs="Calibri"/>
                <w:sz w:val="12"/>
                <w:szCs w:val="12"/>
                <w:lang w:val="en-US"/>
              </w:rPr>
            </w:pPr>
          </w:p>
        </w:tc>
        <w:tc>
          <w:tcPr>
            <w:tcW w:w="426" w:type="dxa"/>
            <w:tcBorders>
              <w:top w:val="nil"/>
              <w:left w:val="nil"/>
              <w:bottom w:val="single" w:sz="8" w:space="0" w:color="4472C4"/>
              <w:right w:val="single" w:sz="8" w:space="0" w:color="auto"/>
            </w:tcBorders>
          </w:tcPr>
          <w:p w14:paraId="482C0EC9" w14:textId="77777777" w:rsidR="00B83EFD" w:rsidRPr="00341BBC" w:rsidRDefault="00B83EFD" w:rsidP="004664A7">
            <w:pPr>
              <w:jc w:val="center"/>
              <w:rPr>
                <w:rFonts w:ascii="Calibri" w:eastAsia="Calibri" w:hAnsi="Calibri" w:cs="Calibri"/>
                <w:sz w:val="12"/>
                <w:szCs w:val="12"/>
                <w:lang w:val="en-US"/>
              </w:rPr>
            </w:pPr>
          </w:p>
        </w:tc>
        <w:tc>
          <w:tcPr>
            <w:tcW w:w="426" w:type="dxa"/>
            <w:tcBorders>
              <w:top w:val="nil"/>
              <w:left w:val="nil"/>
              <w:bottom w:val="single" w:sz="8" w:space="0" w:color="4472C4"/>
              <w:right w:val="single" w:sz="8" w:space="0" w:color="auto"/>
            </w:tcBorders>
          </w:tcPr>
          <w:p w14:paraId="2AC7515B" w14:textId="77777777" w:rsidR="00B83EFD" w:rsidRPr="00341BBC" w:rsidRDefault="00B83EFD" w:rsidP="004664A7">
            <w:pPr>
              <w:jc w:val="center"/>
              <w:rPr>
                <w:rFonts w:ascii="Calibri" w:eastAsia="Calibri" w:hAnsi="Calibri" w:cs="Calibri"/>
                <w:sz w:val="12"/>
                <w:szCs w:val="12"/>
                <w:lang w:val="en-US"/>
              </w:rPr>
            </w:pPr>
          </w:p>
        </w:tc>
        <w:tc>
          <w:tcPr>
            <w:tcW w:w="426" w:type="dxa"/>
            <w:tcBorders>
              <w:top w:val="nil"/>
              <w:left w:val="nil"/>
              <w:bottom w:val="single" w:sz="8" w:space="0" w:color="4472C4"/>
              <w:right w:val="single" w:sz="8" w:space="0" w:color="auto"/>
            </w:tcBorders>
          </w:tcPr>
          <w:p w14:paraId="4F5B7580" w14:textId="77777777" w:rsidR="00B83EFD" w:rsidRPr="00341BBC" w:rsidRDefault="00B83EFD" w:rsidP="004664A7">
            <w:pPr>
              <w:jc w:val="center"/>
              <w:rPr>
                <w:rFonts w:ascii="Calibri" w:eastAsia="Calibri" w:hAnsi="Calibri" w:cs="Calibri"/>
                <w:sz w:val="12"/>
                <w:szCs w:val="12"/>
                <w:lang w:val="en-US"/>
              </w:rPr>
            </w:pPr>
          </w:p>
        </w:tc>
        <w:tc>
          <w:tcPr>
            <w:tcW w:w="426" w:type="dxa"/>
            <w:tcBorders>
              <w:top w:val="nil"/>
              <w:left w:val="nil"/>
              <w:bottom w:val="single" w:sz="8" w:space="0" w:color="4472C4"/>
              <w:right w:val="single" w:sz="8" w:space="0" w:color="auto"/>
            </w:tcBorders>
          </w:tcPr>
          <w:p w14:paraId="4ED505D0" w14:textId="77777777" w:rsidR="00B83EFD" w:rsidRPr="00341BBC" w:rsidRDefault="00B83EFD" w:rsidP="004664A7">
            <w:pPr>
              <w:jc w:val="center"/>
              <w:rPr>
                <w:rFonts w:ascii="Calibri" w:eastAsia="Calibri" w:hAnsi="Calibri" w:cs="Calibri"/>
                <w:sz w:val="12"/>
                <w:szCs w:val="12"/>
                <w:lang w:val="en-US"/>
              </w:rPr>
            </w:pPr>
          </w:p>
        </w:tc>
        <w:tc>
          <w:tcPr>
            <w:tcW w:w="426" w:type="dxa"/>
            <w:tcBorders>
              <w:top w:val="nil"/>
              <w:left w:val="nil"/>
              <w:bottom w:val="single" w:sz="8" w:space="0" w:color="4472C4"/>
              <w:right w:val="single" w:sz="8" w:space="0" w:color="auto"/>
            </w:tcBorders>
          </w:tcPr>
          <w:p w14:paraId="5127952C" w14:textId="77777777" w:rsidR="00B83EFD" w:rsidRPr="00341BBC" w:rsidRDefault="00B83EFD" w:rsidP="004664A7">
            <w:pPr>
              <w:jc w:val="center"/>
              <w:rPr>
                <w:rFonts w:ascii="Calibri" w:eastAsia="Calibri" w:hAnsi="Calibri" w:cs="Calibri"/>
                <w:sz w:val="12"/>
                <w:szCs w:val="12"/>
                <w:lang w:val="en-US"/>
              </w:rPr>
            </w:pPr>
          </w:p>
        </w:tc>
        <w:tc>
          <w:tcPr>
            <w:tcW w:w="426" w:type="dxa"/>
            <w:tcBorders>
              <w:top w:val="nil"/>
              <w:left w:val="nil"/>
              <w:bottom w:val="single" w:sz="8" w:space="0" w:color="4472C4"/>
              <w:right w:val="single" w:sz="8" w:space="0" w:color="auto"/>
            </w:tcBorders>
          </w:tcPr>
          <w:p w14:paraId="4C6BFB49" w14:textId="77777777" w:rsidR="00B83EFD" w:rsidRPr="00341BBC" w:rsidRDefault="00B83EFD" w:rsidP="004664A7">
            <w:pPr>
              <w:jc w:val="center"/>
              <w:rPr>
                <w:rFonts w:ascii="Calibri" w:eastAsia="Calibri" w:hAnsi="Calibri" w:cs="Calibri"/>
                <w:sz w:val="12"/>
                <w:szCs w:val="12"/>
                <w:lang w:val="en-US"/>
              </w:rPr>
            </w:pPr>
          </w:p>
        </w:tc>
        <w:tc>
          <w:tcPr>
            <w:tcW w:w="426" w:type="dxa"/>
            <w:tcBorders>
              <w:top w:val="nil"/>
              <w:left w:val="nil"/>
              <w:bottom w:val="single" w:sz="8" w:space="0" w:color="4472C4"/>
              <w:right w:val="single" w:sz="8" w:space="0" w:color="auto"/>
            </w:tcBorders>
          </w:tcPr>
          <w:p w14:paraId="13F609DE" w14:textId="77777777" w:rsidR="00B83EFD" w:rsidRPr="00341BBC" w:rsidRDefault="00B83EFD" w:rsidP="004664A7">
            <w:pPr>
              <w:jc w:val="center"/>
              <w:rPr>
                <w:rFonts w:ascii="Calibri" w:eastAsia="Calibri" w:hAnsi="Calibri" w:cs="Calibri"/>
                <w:sz w:val="12"/>
                <w:szCs w:val="12"/>
                <w:lang w:val="en-US"/>
              </w:rPr>
            </w:pPr>
          </w:p>
        </w:tc>
        <w:tc>
          <w:tcPr>
            <w:tcW w:w="426" w:type="dxa"/>
            <w:tcBorders>
              <w:top w:val="nil"/>
              <w:left w:val="nil"/>
              <w:bottom w:val="single" w:sz="8" w:space="0" w:color="4472C4"/>
              <w:right w:val="single" w:sz="8" w:space="0" w:color="auto"/>
            </w:tcBorders>
          </w:tcPr>
          <w:p w14:paraId="7FE1033D" w14:textId="77777777" w:rsidR="00B83EFD" w:rsidRPr="00341BBC" w:rsidRDefault="00B83EFD" w:rsidP="004664A7">
            <w:pPr>
              <w:jc w:val="center"/>
              <w:rPr>
                <w:rFonts w:ascii="Calibri" w:eastAsia="Calibri" w:hAnsi="Calibri" w:cs="Calibri"/>
                <w:sz w:val="12"/>
                <w:szCs w:val="12"/>
                <w:lang w:val="en-US"/>
              </w:rPr>
            </w:pPr>
          </w:p>
        </w:tc>
        <w:tc>
          <w:tcPr>
            <w:tcW w:w="426" w:type="dxa"/>
            <w:tcBorders>
              <w:top w:val="nil"/>
              <w:left w:val="nil"/>
              <w:bottom w:val="single" w:sz="8" w:space="0" w:color="4472C4"/>
              <w:right w:val="single" w:sz="8" w:space="0" w:color="auto"/>
            </w:tcBorders>
          </w:tcPr>
          <w:p w14:paraId="735F2A79" w14:textId="77777777" w:rsidR="00B83EFD" w:rsidRPr="00341BBC" w:rsidRDefault="00B83EFD" w:rsidP="004664A7">
            <w:pPr>
              <w:jc w:val="center"/>
              <w:rPr>
                <w:rFonts w:ascii="Calibri" w:eastAsia="Calibri" w:hAnsi="Calibri" w:cs="Calibri"/>
                <w:sz w:val="12"/>
                <w:szCs w:val="12"/>
                <w:lang w:val="en-US"/>
              </w:rPr>
            </w:pPr>
          </w:p>
        </w:tc>
      </w:tr>
      <w:tr w:rsidR="00B83EFD" w:rsidRPr="0047424F" w14:paraId="05EC7C14" w14:textId="28C33EAF" w:rsidTr="00D72F9D">
        <w:trPr>
          <w:trHeight w:val="327"/>
        </w:trPr>
        <w:tc>
          <w:tcPr>
            <w:tcW w:w="1243" w:type="dxa"/>
            <w:vMerge/>
            <w:tcBorders>
              <w:top w:val="nil"/>
              <w:left w:val="single" w:sz="8" w:space="0" w:color="auto"/>
              <w:bottom w:val="single" w:sz="8" w:space="0" w:color="4472C4"/>
              <w:right w:val="single" w:sz="8" w:space="0" w:color="auto"/>
            </w:tcBorders>
            <w:vAlign w:val="center"/>
            <w:hideMark/>
          </w:tcPr>
          <w:p w14:paraId="2BE013FF" w14:textId="77777777" w:rsidR="00B83EFD" w:rsidRPr="0047424F" w:rsidRDefault="00B83EFD" w:rsidP="004664A7">
            <w:pPr>
              <w:rPr>
                <w:rFonts w:ascii="Calibri" w:eastAsia="Calibri" w:hAnsi="Calibri" w:cs="Calibri"/>
                <w:sz w:val="12"/>
                <w:szCs w:val="12"/>
              </w:rPr>
            </w:pPr>
          </w:p>
        </w:tc>
        <w:tc>
          <w:tcPr>
            <w:tcW w:w="1236" w:type="dxa"/>
            <w:tcBorders>
              <w:top w:val="nil"/>
              <w:left w:val="nil"/>
              <w:bottom w:val="single" w:sz="8" w:space="0" w:color="4472C4"/>
              <w:right w:val="single" w:sz="8" w:space="0" w:color="auto"/>
            </w:tcBorders>
            <w:hideMark/>
          </w:tcPr>
          <w:p w14:paraId="4E6BDADA" w14:textId="77777777" w:rsidR="00B83EFD" w:rsidRPr="0047424F" w:rsidRDefault="00B83EFD" w:rsidP="004664A7">
            <w:pPr>
              <w:rPr>
                <w:rFonts w:ascii="Calibri" w:eastAsia="Calibri" w:hAnsi="Calibri" w:cs="Calibri"/>
                <w:sz w:val="12"/>
                <w:szCs w:val="12"/>
              </w:rPr>
            </w:pPr>
            <w:r w:rsidRPr="002C416D">
              <w:rPr>
                <w:rFonts w:ascii="Calibri" w:eastAsia="Calibri" w:hAnsi="Calibri" w:cs="Calibri"/>
                <w:color w:val="FF0000"/>
                <w:sz w:val="12"/>
                <w:szCs w:val="12"/>
              </w:rPr>
              <w:t>Propagation delay in DL direction</w:t>
            </w:r>
          </w:p>
        </w:tc>
        <w:tc>
          <w:tcPr>
            <w:tcW w:w="430" w:type="dxa"/>
            <w:tcBorders>
              <w:top w:val="nil"/>
              <w:left w:val="nil"/>
              <w:bottom w:val="single" w:sz="8" w:space="0" w:color="4472C4"/>
              <w:right w:val="single" w:sz="8" w:space="0" w:color="auto"/>
            </w:tcBorders>
            <w:tcMar>
              <w:top w:w="0" w:type="dxa"/>
              <w:left w:w="108" w:type="dxa"/>
              <w:bottom w:w="0" w:type="dxa"/>
              <w:right w:w="108" w:type="dxa"/>
            </w:tcMar>
          </w:tcPr>
          <w:p w14:paraId="1AB7C666" w14:textId="77777777" w:rsidR="00B83EFD" w:rsidRPr="0047424F" w:rsidRDefault="00B83EFD" w:rsidP="004664A7">
            <w:pPr>
              <w:rPr>
                <w:rFonts w:ascii="Calibri" w:eastAsia="Calibri" w:hAnsi="Calibri" w:cs="Calibri"/>
                <w:sz w:val="12"/>
                <w:szCs w:val="12"/>
              </w:rPr>
            </w:pPr>
          </w:p>
        </w:tc>
        <w:tc>
          <w:tcPr>
            <w:tcW w:w="449" w:type="dxa"/>
            <w:tcBorders>
              <w:top w:val="nil"/>
              <w:left w:val="nil"/>
              <w:bottom w:val="single" w:sz="8" w:space="0" w:color="4472C4"/>
              <w:right w:val="single" w:sz="8" w:space="0" w:color="auto"/>
            </w:tcBorders>
            <w:tcMar>
              <w:top w:w="0" w:type="dxa"/>
              <w:left w:w="108" w:type="dxa"/>
              <w:bottom w:w="0" w:type="dxa"/>
              <w:right w:w="108" w:type="dxa"/>
            </w:tcMar>
          </w:tcPr>
          <w:p w14:paraId="1742EB6F" w14:textId="77777777" w:rsidR="00B83EFD" w:rsidRPr="0047424F" w:rsidRDefault="00B83EFD" w:rsidP="004664A7">
            <w:pPr>
              <w:rPr>
                <w:rFonts w:ascii="Calibri" w:eastAsia="Calibri" w:hAnsi="Calibri" w:cs="Calibri"/>
                <w:sz w:val="12"/>
                <w:szCs w:val="12"/>
              </w:rPr>
            </w:pPr>
          </w:p>
        </w:tc>
        <w:tc>
          <w:tcPr>
            <w:tcW w:w="437" w:type="dxa"/>
            <w:tcBorders>
              <w:top w:val="nil"/>
              <w:left w:val="nil"/>
              <w:bottom w:val="single" w:sz="8" w:space="0" w:color="4472C4"/>
              <w:right w:val="single" w:sz="8" w:space="0" w:color="auto"/>
            </w:tcBorders>
            <w:tcMar>
              <w:top w:w="0" w:type="dxa"/>
              <w:left w:w="108" w:type="dxa"/>
              <w:bottom w:w="0" w:type="dxa"/>
              <w:right w:w="108" w:type="dxa"/>
            </w:tcMar>
          </w:tcPr>
          <w:p w14:paraId="7D4EB386" w14:textId="77777777" w:rsidR="00B83EFD" w:rsidRPr="0047424F" w:rsidRDefault="00B83EFD" w:rsidP="004664A7">
            <w:pPr>
              <w:rPr>
                <w:rFonts w:ascii="Calibri" w:eastAsia="Calibri" w:hAnsi="Calibri" w:cs="Calibri"/>
                <w:sz w:val="12"/>
                <w:szCs w:val="12"/>
              </w:rPr>
            </w:pPr>
          </w:p>
        </w:tc>
        <w:tc>
          <w:tcPr>
            <w:tcW w:w="5558" w:type="dxa"/>
            <w:gridSpan w:val="13"/>
            <w:tcBorders>
              <w:top w:val="nil"/>
              <w:left w:val="nil"/>
              <w:bottom w:val="single" w:sz="8" w:space="0" w:color="4472C4"/>
              <w:right w:val="single" w:sz="8" w:space="0" w:color="auto"/>
            </w:tcBorders>
            <w:tcMar>
              <w:top w:w="0" w:type="dxa"/>
              <w:left w:w="108" w:type="dxa"/>
              <w:bottom w:w="0" w:type="dxa"/>
              <w:right w:w="108" w:type="dxa"/>
            </w:tcMar>
          </w:tcPr>
          <w:p w14:paraId="65489211" w14:textId="5FDB1E3E" w:rsidR="00B83EFD" w:rsidRPr="00B83EFD" w:rsidRDefault="00B83EFD" w:rsidP="00B83EFD">
            <w:pPr>
              <w:jc w:val="center"/>
              <w:rPr>
                <w:color w:val="FF0000"/>
                <w:sz w:val="12"/>
                <w:szCs w:val="12"/>
                <w:lang w:val="de-DE" w:eastAsia="en-US"/>
              </w:rPr>
            </w:pPr>
            <w:r>
              <w:rPr>
                <w:color w:val="FF0000"/>
                <w:sz w:val="12"/>
                <w:szCs w:val="12"/>
                <w:lang w:val="de-DE"/>
              </w:rPr>
              <w:t>Delay at min elevation/2 = 26ms/2 = 13ms</w:t>
            </w:r>
          </w:p>
        </w:tc>
      </w:tr>
    </w:tbl>
    <w:p w14:paraId="4B4ED5A3" w14:textId="5C60CDA7" w:rsidR="00A84E0A" w:rsidRDefault="00A84E0A" w:rsidP="003A5C83">
      <w:pPr>
        <w:pStyle w:val="Reference"/>
        <w:numPr>
          <w:ilvl w:val="0"/>
          <w:numId w:val="0"/>
        </w:numPr>
        <w:rPr>
          <w:rFonts w:ascii="Times New Roman" w:hAnsi="Times New Roman"/>
        </w:rPr>
      </w:pPr>
    </w:p>
    <w:p w14:paraId="19A2154A" w14:textId="6709D92D" w:rsidR="00A84E0A" w:rsidRDefault="001D6906" w:rsidP="003A5C83">
      <w:pPr>
        <w:pStyle w:val="Reference"/>
        <w:numPr>
          <w:ilvl w:val="0"/>
          <w:numId w:val="0"/>
        </w:numPr>
        <w:rPr>
          <w:rFonts w:ascii="Times New Roman" w:hAnsi="Times New Roman"/>
        </w:rPr>
      </w:pPr>
      <w:r>
        <w:rPr>
          <w:rFonts w:ascii="Times New Roman" w:hAnsi="Times New Roman"/>
        </w:rPr>
        <w:t xml:space="preserve">In </w:t>
      </w:r>
      <w:r w:rsidRPr="001D6906">
        <w:rPr>
          <w:rFonts w:ascii="Times New Roman" w:hAnsi="Times New Roman"/>
        </w:rPr>
        <w:t xml:space="preserve">our understanding the gain </w:t>
      </w:r>
      <w:r>
        <w:rPr>
          <w:rFonts w:ascii="Times New Roman" w:hAnsi="Times New Roman"/>
        </w:rPr>
        <w:t xml:space="preserve">of the disabling approach </w:t>
      </w:r>
      <w:r w:rsidRPr="001D6906">
        <w:rPr>
          <w:rFonts w:ascii="Times New Roman" w:hAnsi="Times New Roman"/>
        </w:rPr>
        <w:t xml:space="preserve">mainly comes from avoiding the “propagation delay in the uplink direction” due to not transmitting ACK/NACK via </w:t>
      </w:r>
      <w:r>
        <w:rPr>
          <w:rFonts w:ascii="Times New Roman" w:hAnsi="Times New Roman"/>
        </w:rPr>
        <w:t>PUCCH</w:t>
      </w:r>
      <w:r w:rsidRPr="001D6906">
        <w:rPr>
          <w:rFonts w:ascii="Times New Roman" w:hAnsi="Times New Roman"/>
        </w:rPr>
        <w:t xml:space="preserve">, plus the ability to receive the subsequent </w:t>
      </w:r>
      <w:r w:rsidR="00C16A3C">
        <w:rPr>
          <w:rFonts w:ascii="Times New Roman" w:hAnsi="Times New Roman"/>
        </w:rPr>
        <w:t>M</w:t>
      </w:r>
      <w:r w:rsidRPr="001D6906">
        <w:rPr>
          <w:rFonts w:ascii="Times New Roman" w:hAnsi="Times New Roman"/>
        </w:rPr>
        <w:t>PDCCH scheduling data as soon as DL monitoring is allowed</w:t>
      </w:r>
      <w:r>
        <w:rPr>
          <w:rFonts w:ascii="Times New Roman" w:hAnsi="Times New Roman"/>
        </w:rPr>
        <w:t xml:space="preserve"> (i.e., 3 </w:t>
      </w:r>
      <w:proofErr w:type="spellStart"/>
      <w:r>
        <w:rPr>
          <w:rFonts w:ascii="Times New Roman" w:hAnsi="Times New Roman"/>
        </w:rPr>
        <w:t>ms</w:t>
      </w:r>
      <w:proofErr w:type="spellEnd"/>
      <w:r>
        <w:rPr>
          <w:rFonts w:ascii="Times New Roman" w:hAnsi="Times New Roman"/>
        </w:rPr>
        <w:t xml:space="preserve"> after the end of the PDSCH transmission as to allow for sufficient decoding time). Moreover, in Table A1.2 MPDCCH </w:t>
      </w:r>
      <w:r w:rsidR="003D44FC">
        <w:rPr>
          <w:rFonts w:ascii="Times New Roman" w:hAnsi="Times New Roman"/>
        </w:rPr>
        <w:t xml:space="preserve">at subframe #0 </w:t>
      </w:r>
      <w:r>
        <w:rPr>
          <w:rFonts w:ascii="Times New Roman" w:hAnsi="Times New Roman"/>
        </w:rPr>
        <w:t>is the very first downlink scheduling, whereas MPDCCHs at subframes #6, and #12 would be somehow transmitted in advance “hoping for the best” given the lack of ACK/NACK feedback.</w:t>
      </w:r>
    </w:p>
    <w:p w14:paraId="5721DFBC" w14:textId="73A6BC4B" w:rsidR="0004513A" w:rsidRDefault="00FB300A" w:rsidP="0004513A">
      <w:pPr>
        <w:pStyle w:val="Heading1"/>
      </w:pPr>
      <w:r>
        <w:t>7</w:t>
      </w:r>
      <w:r w:rsidR="0004513A">
        <w:tab/>
        <w:t xml:space="preserve">Annex 2: NB-IoT </w:t>
      </w:r>
      <w:r>
        <w:t>legacy processing delays</w:t>
      </w:r>
    </w:p>
    <w:p w14:paraId="499118B9" w14:textId="278E02EE" w:rsidR="0004513A" w:rsidRDefault="0004513A" w:rsidP="0004513A">
      <w:pPr>
        <w:pStyle w:val="Heading2"/>
      </w:pPr>
      <w:r>
        <w:t>A</w:t>
      </w:r>
      <w:r w:rsidR="001531A8">
        <w:t>2</w:t>
      </w:r>
      <w:r>
        <w:t>.</w:t>
      </w:r>
      <w:r w:rsidR="001531A8">
        <w:t>1</w:t>
      </w:r>
      <w:r>
        <w:tab/>
      </w:r>
      <w:r w:rsidR="007064A5">
        <w:t xml:space="preserve">NB-IoT: Illustration of legacy processing delays using a </w:t>
      </w:r>
      <w:r w:rsidR="007064A5" w:rsidRPr="003A5C83">
        <w:t>LEO satellite at an orbit altitude of 600 km</w:t>
      </w:r>
      <w:r w:rsidRPr="00DF648F">
        <w:t>.</w:t>
      </w:r>
    </w:p>
    <w:p w14:paraId="510D032D" w14:textId="118343CF" w:rsidR="0004513A" w:rsidRDefault="0004513A" w:rsidP="0004513A">
      <w:r>
        <w:t>Table A</w:t>
      </w:r>
      <w:r w:rsidR="001531A8">
        <w:t>2</w:t>
      </w:r>
      <w:r w:rsidR="007064A5">
        <w:t xml:space="preserve">.1 </w:t>
      </w:r>
      <w:r w:rsidR="007064A5" w:rsidRPr="007064A5">
        <w:t xml:space="preserve">illustrates the legacy processing delays of a transmission corresponding to one HARQ process keeping HARQ feedback enabled </w:t>
      </w:r>
      <w:r w:rsidR="001531A8" w:rsidRPr="001531A8">
        <w:t xml:space="preserve">for </w:t>
      </w:r>
      <w:r w:rsidR="001531A8">
        <w:t xml:space="preserve">a </w:t>
      </w:r>
      <w:r w:rsidR="001531A8" w:rsidRPr="001531A8">
        <w:t>Cat-NB2 UE</w:t>
      </w:r>
      <w:r w:rsidR="001531A8">
        <w:t>.</w:t>
      </w:r>
    </w:p>
    <w:p w14:paraId="1E5AA073" w14:textId="77A8966C" w:rsidR="007064A5" w:rsidRPr="00A87D48" w:rsidRDefault="007064A5" w:rsidP="007064A5">
      <w:pPr>
        <w:pStyle w:val="BodyText"/>
        <w:jc w:val="center"/>
        <w:rPr>
          <w:rFonts w:ascii="Times New Roman" w:hAnsi="Times New Roman"/>
          <w:sz w:val="16"/>
          <w:szCs w:val="16"/>
          <w:lang w:eastAsia="ja-JP"/>
        </w:rPr>
      </w:pPr>
      <w:r w:rsidRPr="00A87D48">
        <w:rPr>
          <w:rFonts w:ascii="Times New Roman" w:hAnsi="Times New Roman"/>
          <w:sz w:val="16"/>
          <w:szCs w:val="16"/>
          <w:lang w:eastAsia="ja-JP"/>
        </w:rPr>
        <w:t xml:space="preserve">Table </w:t>
      </w:r>
      <w:r>
        <w:rPr>
          <w:rFonts w:ascii="Times New Roman" w:hAnsi="Times New Roman"/>
          <w:sz w:val="16"/>
          <w:szCs w:val="16"/>
          <w:lang w:eastAsia="ja-JP"/>
        </w:rPr>
        <w:t>A2.1</w:t>
      </w:r>
      <w:r w:rsidRPr="00A87D48">
        <w:rPr>
          <w:rFonts w:ascii="Times New Roman" w:hAnsi="Times New Roman"/>
          <w:sz w:val="16"/>
          <w:szCs w:val="16"/>
          <w:lang w:eastAsia="ja-JP"/>
        </w:rPr>
        <w:t xml:space="preserve">: </w:t>
      </w:r>
      <w:r>
        <w:rPr>
          <w:rFonts w:ascii="Times New Roman" w:hAnsi="Times New Roman"/>
          <w:sz w:val="16"/>
          <w:szCs w:val="16"/>
          <w:lang w:eastAsia="ja-JP"/>
        </w:rPr>
        <w:t>Transmission of one HARQ process keeping</w:t>
      </w:r>
      <w:r w:rsidRPr="00A87D48">
        <w:rPr>
          <w:rFonts w:ascii="Times New Roman" w:hAnsi="Times New Roman"/>
          <w:sz w:val="16"/>
          <w:szCs w:val="16"/>
          <w:lang w:eastAsia="ja-JP"/>
        </w:rPr>
        <w:t xml:space="preserve"> </w:t>
      </w:r>
      <w:r>
        <w:rPr>
          <w:rFonts w:ascii="Times New Roman" w:hAnsi="Times New Roman"/>
          <w:sz w:val="16"/>
          <w:szCs w:val="16"/>
          <w:lang w:eastAsia="ja-JP"/>
        </w:rPr>
        <w:t xml:space="preserve">HARQ feedback enabled </w:t>
      </w:r>
      <w:r w:rsidRPr="006A54A2">
        <w:rPr>
          <w:rFonts w:ascii="Times New Roman" w:hAnsi="Times New Roman"/>
          <w:sz w:val="16"/>
          <w:szCs w:val="16"/>
          <w:lang w:eastAsia="ja-JP"/>
        </w:rPr>
        <w:t xml:space="preserve">for </w:t>
      </w:r>
      <w:r>
        <w:rPr>
          <w:rFonts w:ascii="Times New Roman" w:hAnsi="Times New Roman"/>
          <w:sz w:val="16"/>
          <w:szCs w:val="16"/>
          <w:lang w:eastAsia="ja-JP"/>
        </w:rPr>
        <w:t xml:space="preserve">a </w:t>
      </w:r>
      <w:r w:rsidRPr="006A54A2">
        <w:rPr>
          <w:rFonts w:ascii="Times New Roman" w:hAnsi="Times New Roman"/>
          <w:sz w:val="16"/>
          <w:szCs w:val="16"/>
          <w:lang w:eastAsia="ja-JP"/>
        </w:rPr>
        <w:t>Cat-NB2 UE</w:t>
      </w:r>
      <w:r w:rsidRPr="00A87D48">
        <w:rPr>
          <w:rFonts w:ascii="Times New Roman" w:hAnsi="Times New Roman"/>
          <w:sz w:val="16"/>
          <w:szCs w:val="16"/>
          <w:lang w:eastAsia="ja-JP"/>
        </w:rPr>
        <w:t>.</w:t>
      </w:r>
    </w:p>
    <w:tbl>
      <w:tblPr>
        <w:tblW w:w="10007" w:type="dxa"/>
        <w:tblInd w:w="-152" w:type="dxa"/>
        <w:tblLayout w:type="fixed"/>
        <w:tblCellMar>
          <w:left w:w="0" w:type="dxa"/>
          <w:right w:w="0" w:type="dxa"/>
        </w:tblCellMar>
        <w:tblLook w:val="04A0" w:firstRow="1" w:lastRow="0" w:firstColumn="1" w:lastColumn="0" w:noHBand="0" w:noVBand="1"/>
      </w:tblPr>
      <w:tblGrid>
        <w:gridCol w:w="884"/>
        <w:gridCol w:w="236"/>
        <w:gridCol w:w="245"/>
        <w:gridCol w:w="245"/>
        <w:gridCol w:w="245"/>
        <w:gridCol w:w="245"/>
        <w:gridCol w:w="301"/>
        <w:gridCol w:w="303"/>
        <w:gridCol w:w="298"/>
        <w:gridCol w:w="303"/>
        <w:gridCol w:w="302"/>
        <w:gridCol w:w="291"/>
        <w:gridCol w:w="300"/>
        <w:gridCol w:w="303"/>
        <w:gridCol w:w="287"/>
        <w:gridCol w:w="287"/>
        <w:gridCol w:w="274"/>
        <w:gridCol w:w="274"/>
        <w:gridCol w:w="274"/>
        <w:gridCol w:w="274"/>
        <w:gridCol w:w="274"/>
        <w:gridCol w:w="274"/>
        <w:gridCol w:w="274"/>
        <w:gridCol w:w="274"/>
        <w:gridCol w:w="274"/>
        <w:gridCol w:w="274"/>
        <w:gridCol w:w="274"/>
        <w:gridCol w:w="274"/>
        <w:gridCol w:w="274"/>
        <w:gridCol w:w="274"/>
        <w:gridCol w:w="274"/>
        <w:gridCol w:w="274"/>
        <w:gridCol w:w="274"/>
        <w:gridCol w:w="274"/>
      </w:tblGrid>
      <w:tr w:rsidR="00C65383" w14:paraId="10EADC22" w14:textId="77777777" w:rsidTr="00C65383">
        <w:tc>
          <w:tcPr>
            <w:tcW w:w="8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9CB5AB" w14:textId="77777777" w:rsidR="00E4014C" w:rsidRDefault="00E4014C">
            <w:pPr>
              <w:rPr>
                <w:rFonts w:ascii="Calibri" w:hAnsi="Calibri" w:cs="Calibri"/>
                <w:sz w:val="22"/>
                <w:szCs w:val="22"/>
                <w:lang w:val="en-US"/>
              </w:rPr>
            </w:pPr>
            <w:r>
              <w:rPr>
                <w:rFonts w:ascii="Calibri" w:hAnsi="Calibri" w:cs="Calibri"/>
                <w:sz w:val="12"/>
                <w:szCs w:val="12"/>
                <w:lang w:val="en-US" w:eastAsia="en-US"/>
              </w:rPr>
              <w:t>Subframe#</w:t>
            </w: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F256FC" w14:textId="77777777" w:rsidR="00E4014C" w:rsidRDefault="00E4014C">
            <w:pPr>
              <w:rPr>
                <w:rFonts w:ascii="Calibri" w:hAnsi="Calibri" w:cs="Calibri"/>
                <w:sz w:val="22"/>
                <w:szCs w:val="22"/>
                <w:lang w:val="en-US"/>
              </w:rPr>
            </w:pPr>
            <w:r>
              <w:rPr>
                <w:rFonts w:ascii="Calibri" w:hAnsi="Calibri" w:cs="Calibri"/>
                <w:sz w:val="12"/>
                <w:szCs w:val="12"/>
                <w:lang w:val="en-US" w:eastAsia="en-US"/>
              </w:rPr>
              <w:t>0</w:t>
            </w:r>
          </w:p>
        </w:tc>
        <w:tc>
          <w:tcPr>
            <w:tcW w:w="2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FFD0BF" w14:textId="77777777" w:rsidR="00E4014C" w:rsidRDefault="00E4014C">
            <w:pPr>
              <w:rPr>
                <w:rFonts w:ascii="Calibri" w:hAnsi="Calibri" w:cs="Calibri"/>
                <w:sz w:val="22"/>
                <w:szCs w:val="22"/>
                <w:lang w:val="en-US"/>
              </w:rPr>
            </w:pPr>
            <w:r>
              <w:rPr>
                <w:rFonts w:ascii="Calibri" w:hAnsi="Calibri" w:cs="Calibri"/>
                <w:sz w:val="12"/>
                <w:szCs w:val="12"/>
                <w:lang w:val="en-US" w:eastAsia="en-US"/>
              </w:rPr>
              <w:t>1</w:t>
            </w:r>
          </w:p>
        </w:tc>
        <w:tc>
          <w:tcPr>
            <w:tcW w:w="2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F80901" w14:textId="77777777" w:rsidR="00E4014C" w:rsidRDefault="00E4014C">
            <w:pPr>
              <w:rPr>
                <w:rFonts w:ascii="Calibri" w:hAnsi="Calibri" w:cs="Calibri"/>
                <w:sz w:val="22"/>
                <w:szCs w:val="22"/>
                <w:lang w:val="en-US"/>
              </w:rPr>
            </w:pPr>
            <w:r>
              <w:rPr>
                <w:rFonts w:ascii="Calibri" w:hAnsi="Calibri" w:cs="Calibri"/>
                <w:sz w:val="12"/>
                <w:szCs w:val="12"/>
                <w:lang w:val="en-US" w:eastAsia="en-US"/>
              </w:rPr>
              <w:t>2</w:t>
            </w:r>
          </w:p>
        </w:tc>
        <w:tc>
          <w:tcPr>
            <w:tcW w:w="2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7E2822" w14:textId="77777777" w:rsidR="00E4014C" w:rsidRDefault="00E4014C">
            <w:pPr>
              <w:rPr>
                <w:rFonts w:ascii="Calibri" w:hAnsi="Calibri" w:cs="Calibri"/>
                <w:sz w:val="22"/>
                <w:szCs w:val="22"/>
                <w:lang w:val="en-US"/>
              </w:rPr>
            </w:pPr>
            <w:r>
              <w:rPr>
                <w:rFonts w:ascii="Calibri" w:hAnsi="Calibri" w:cs="Calibri"/>
                <w:sz w:val="12"/>
                <w:szCs w:val="12"/>
                <w:lang w:val="en-US" w:eastAsia="en-US"/>
              </w:rPr>
              <w:t>3</w:t>
            </w:r>
          </w:p>
        </w:tc>
        <w:tc>
          <w:tcPr>
            <w:tcW w:w="2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D65FBE" w14:textId="77777777" w:rsidR="00E4014C" w:rsidRDefault="00E4014C">
            <w:pPr>
              <w:rPr>
                <w:rFonts w:ascii="Calibri" w:hAnsi="Calibri" w:cs="Calibri"/>
                <w:sz w:val="22"/>
                <w:szCs w:val="22"/>
                <w:lang w:val="en-US"/>
              </w:rPr>
            </w:pPr>
            <w:r>
              <w:rPr>
                <w:rFonts w:ascii="Calibri" w:hAnsi="Calibri" w:cs="Calibri"/>
                <w:sz w:val="12"/>
                <w:szCs w:val="12"/>
                <w:lang w:val="en-US" w:eastAsia="en-US"/>
              </w:rPr>
              <w:t>4</w:t>
            </w:r>
          </w:p>
        </w:tc>
        <w:tc>
          <w:tcPr>
            <w:tcW w:w="3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23E020" w14:textId="77777777" w:rsidR="00E4014C" w:rsidRDefault="00E4014C">
            <w:pPr>
              <w:rPr>
                <w:rFonts w:ascii="Calibri" w:hAnsi="Calibri" w:cs="Calibri"/>
                <w:sz w:val="22"/>
                <w:szCs w:val="22"/>
                <w:lang w:val="en-US"/>
              </w:rPr>
            </w:pPr>
            <w:r>
              <w:rPr>
                <w:rFonts w:ascii="Calibri" w:hAnsi="Calibri" w:cs="Calibri"/>
                <w:sz w:val="12"/>
                <w:szCs w:val="12"/>
                <w:lang w:val="en-US" w:eastAsia="en-US"/>
              </w:rPr>
              <w:t>5</w:t>
            </w:r>
          </w:p>
        </w:tc>
        <w:tc>
          <w:tcPr>
            <w:tcW w:w="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5A1F3E" w14:textId="77777777" w:rsidR="00E4014C" w:rsidRDefault="00E4014C">
            <w:pPr>
              <w:rPr>
                <w:rFonts w:ascii="Calibri" w:hAnsi="Calibri" w:cs="Calibri"/>
                <w:sz w:val="22"/>
                <w:szCs w:val="22"/>
                <w:lang w:val="en-US"/>
              </w:rPr>
            </w:pPr>
            <w:r>
              <w:rPr>
                <w:rFonts w:ascii="Calibri" w:hAnsi="Calibri" w:cs="Calibri"/>
                <w:sz w:val="12"/>
                <w:szCs w:val="12"/>
                <w:lang w:val="en-US" w:eastAsia="en-US"/>
              </w:rPr>
              <w:t>6</w:t>
            </w:r>
          </w:p>
        </w:tc>
        <w:tc>
          <w:tcPr>
            <w:tcW w:w="2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6D4B7D" w14:textId="77777777" w:rsidR="00E4014C" w:rsidRDefault="00E4014C">
            <w:pPr>
              <w:rPr>
                <w:rFonts w:ascii="Calibri" w:hAnsi="Calibri" w:cs="Calibri"/>
                <w:sz w:val="22"/>
                <w:szCs w:val="22"/>
                <w:lang w:val="en-US"/>
              </w:rPr>
            </w:pPr>
            <w:r>
              <w:rPr>
                <w:rFonts w:ascii="Calibri" w:hAnsi="Calibri" w:cs="Calibri"/>
                <w:sz w:val="12"/>
                <w:szCs w:val="12"/>
                <w:lang w:val="en-US" w:eastAsia="en-US"/>
              </w:rPr>
              <w:t>7</w:t>
            </w:r>
          </w:p>
        </w:tc>
        <w:tc>
          <w:tcPr>
            <w:tcW w:w="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F5DC90" w14:textId="77777777" w:rsidR="00E4014C" w:rsidRDefault="00E4014C">
            <w:pPr>
              <w:rPr>
                <w:rFonts w:ascii="Calibri" w:hAnsi="Calibri" w:cs="Calibri"/>
                <w:sz w:val="22"/>
                <w:szCs w:val="22"/>
                <w:lang w:val="en-US"/>
              </w:rPr>
            </w:pPr>
            <w:r>
              <w:rPr>
                <w:rFonts w:ascii="Calibri" w:hAnsi="Calibri" w:cs="Calibri"/>
                <w:sz w:val="12"/>
                <w:szCs w:val="12"/>
                <w:lang w:val="en-US" w:eastAsia="en-US"/>
              </w:rPr>
              <w:t>8</w:t>
            </w:r>
          </w:p>
        </w:tc>
        <w:tc>
          <w:tcPr>
            <w:tcW w:w="3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1B7E90" w14:textId="77777777" w:rsidR="00E4014C" w:rsidRDefault="00E4014C">
            <w:pPr>
              <w:rPr>
                <w:rFonts w:ascii="Calibri" w:hAnsi="Calibri" w:cs="Calibri"/>
                <w:sz w:val="22"/>
                <w:szCs w:val="22"/>
                <w:lang w:val="en-US"/>
              </w:rPr>
            </w:pPr>
            <w:r>
              <w:rPr>
                <w:rFonts w:ascii="Calibri" w:hAnsi="Calibri" w:cs="Calibri"/>
                <w:sz w:val="12"/>
                <w:szCs w:val="12"/>
                <w:lang w:val="en-US" w:eastAsia="en-US"/>
              </w:rPr>
              <w:t>9</w:t>
            </w:r>
          </w:p>
        </w:tc>
        <w:tc>
          <w:tcPr>
            <w:tcW w:w="2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D35D10" w14:textId="77777777" w:rsidR="00E4014C" w:rsidRDefault="00E4014C">
            <w:pPr>
              <w:rPr>
                <w:rFonts w:ascii="Calibri" w:hAnsi="Calibri" w:cs="Calibri"/>
                <w:sz w:val="22"/>
                <w:szCs w:val="22"/>
                <w:lang w:val="en-US"/>
              </w:rPr>
            </w:pPr>
            <w:r>
              <w:rPr>
                <w:rFonts w:ascii="Calibri" w:hAnsi="Calibri" w:cs="Calibri"/>
                <w:sz w:val="12"/>
                <w:szCs w:val="12"/>
                <w:lang w:val="en-US" w:eastAsia="en-US"/>
              </w:rPr>
              <w:t>10</w:t>
            </w:r>
          </w:p>
        </w:tc>
        <w:tc>
          <w:tcPr>
            <w:tcW w:w="3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A6074D" w14:textId="77777777" w:rsidR="00E4014C" w:rsidRDefault="00E4014C">
            <w:pPr>
              <w:rPr>
                <w:rFonts w:ascii="Calibri" w:hAnsi="Calibri" w:cs="Calibri"/>
                <w:sz w:val="22"/>
                <w:szCs w:val="22"/>
                <w:lang w:val="en-US"/>
              </w:rPr>
            </w:pPr>
            <w:r>
              <w:rPr>
                <w:rFonts w:ascii="Calibri" w:hAnsi="Calibri" w:cs="Calibri"/>
                <w:sz w:val="12"/>
                <w:szCs w:val="12"/>
                <w:lang w:val="en-US" w:eastAsia="en-US"/>
              </w:rPr>
              <w:t>11</w:t>
            </w:r>
          </w:p>
        </w:tc>
        <w:tc>
          <w:tcPr>
            <w:tcW w:w="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7302AB" w14:textId="77777777" w:rsidR="00E4014C" w:rsidRDefault="00E4014C">
            <w:pPr>
              <w:rPr>
                <w:rFonts w:ascii="Calibri" w:hAnsi="Calibri" w:cs="Calibri"/>
                <w:sz w:val="22"/>
                <w:szCs w:val="22"/>
                <w:lang w:val="en-US"/>
              </w:rPr>
            </w:pPr>
            <w:r>
              <w:rPr>
                <w:rFonts w:ascii="Calibri" w:hAnsi="Calibri" w:cs="Calibri"/>
                <w:sz w:val="12"/>
                <w:szCs w:val="12"/>
                <w:lang w:val="en-US" w:eastAsia="en-US"/>
              </w:rPr>
              <w:t>12</w:t>
            </w:r>
          </w:p>
        </w:tc>
        <w:tc>
          <w:tcPr>
            <w:tcW w:w="2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3A30F7" w14:textId="77777777" w:rsidR="00E4014C" w:rsidRDefault="00E4014C">
            <w:pPr>
              <w:rPr>
                <w:rFonts w:ascii="Calibri" w:hAnsi="Calibri" w:cs="Calibri"/>
                <w:sz w:val="22"/>
                <w:szCs w:val="22"/>
                <w:lang w:val="en-US"/>
              </w:rPr>
            </w:pPr>
            <w:r>
              <w:rPr>
                <w:rFonts w:ascii="Calibri" w:hAnsi="Calibri" w:cs="Calibri"/>
                <w:sz w:val="12"/>
                <w:szCs w:val="12"/>
                <w:lang w:val="en-US" w:eastAsia="en-US"/>
              </w:rPr>
              <w:t>13</w:t>
            </w:r>
          </w:p>
        </w:tc>
        <w:tc>
          <w:tcPr>
            <w:tcW w:w="2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53B37" w14:textId="77777777" w:rsidR="00E4014C" w:rsidRDefault="00E4014C">
            <w:pPr>
              <w:rPr>
                <w:rFonts w:ascii="Calibri" w:hAnsi="Calibri" w:cs="Calibri"/>
                <w:sz w:val="22"/>
                <w:szCs w:val="22"/>
                <w:lang w:val="en-US"/>
              </w:rPr>
            </w:pPr>
            <w:r>
              <w:rPr>
                <w:rFonts w:ascii="Calibri" w:hAnsi="Calibri" w:cs="Calibri"/>
                <w:sz w:val="12"/>
                <w:szCs w:val="12"/>
                <w:lang w:val="en-US" w:eastAsia="en-US"/>
              </w:rPr>
              <w:t>14</w:t>
            </w:r>
          </w:p>
        </w:tc>
        <w:tc>
          <w:tcPr>
            <w:tcW w:w="2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6D6B66" w14:textId="77777777" w:rsidR="00E4014C" w:rsidRDefault="00E4014C">
            <w:pPr>
              <w:rPr>
                <w:rFonts w:ascii="Calibri" w:hAnsi="Calibri" w:cs="Calibri"/>
                <w:sz w:val="22"/>
                <w:szCs w:val="22"/>
                <w:lang w:val="en-US"/>
              </w:rPr>
            </w:pPr>
            <w:r>
              <w:rPr>
                <w:rFonts w:ascii="Calibri" w:hAnsi="Calibri" w:cs="Calibri"/>
                <w:sz w:val="12"/>
                <w:szCs w:val="12"/>
                <w:lang w:val="en-US" w:eastAsia="en-US"/>
              </w:rPr>
              <w:t>15</w:t>
            </w:r>
          </w:p>
        </w:tc>
        <w:tc>
          <w:tcPr>
            <w:tcW w:w="2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BDE74A" w14:textId="77777777" w:rsidR="00E4014C" w:rsidRDefault="00E4014C">
            <w:pPr>
              <w:rPr>
                <w:rFonts w:ascii="Calibri" w:hAnsi="Calibri" w:cs="Calibri"/>
                <w:sz w:val="22"/>
                <w:szCs w:val="22"/>
                <w:lang w:val="en-US"/>
              </w:rPr>
            </w:pPr>
            <w:r>
              <w:rPr>
                <w:rFonts w:ascii="Calibri" w:hAnsi="Calibri" w:cs="Calibri"/>
                <w:sz w:val="12"/>
                <w:szCs w:val="12"/>
                <w:lang w:val="en-US" w:eastAsia="en-US"/>
              </w:rPr>
              <w:t>16</w:t>
            </w:r>
          </w:p>
        </w:tc>
        <w:tc>
          <w:tcPr>
            <w:tcW w:w="2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5F0DC6" w14:textId="77777777" w:rsidR="00E4014C" w:rsidRDefault="00E4014C">
            <w:pPr>
              <w:rPr>
                <w:rFonts w:ascii="Calibri" w:hAnsi="Calibri" w:cs="Calibri"/>
                <w:sz w:val="22"/>
                <w:szCs w:val="22"/>
                <w:lang w:val="en-US"/>
              </w:rPr>
            </w:pPr>
            <w:r>
              <w:rPr>
                <w:rFonts w:ascii="Calibri" w:hAnsi="Calibri" w:cs="Calibri"/>
                <w:sz w:val="12"/>
                <w:szCs w:val="12"/>
                <w:lang w:val="en-US" w:eastAsia="en-US"/>
              </w:rPr>
              <w:t>17</w:t>
            </w:r>
          </w:p>
        </w:tc>
        <w:tc>
          <w:tcPr>
            <w:tcW w:w="2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A04391" w14:textId="77777777" w:rsidR="00E4014C" w:rsidRDefault="00E4014C">
            <w:pPr>
              <w:rPr>
                <w:rFonts w:ascii="Calibri" w:hAnsi="Calibri" w:cs="Calibri"/>
                <w:sz w:val="22"/>
                <w:szCs w:val="22"/>
                <w:lang w:val="en-US"/>
              </w:rPr>
            </w:pPr>
            <w:r>
              <w:rPr>
                <w:rFonts w:ascii="Calibri" w:hAnsi="Calibri" w:cs="Calibri"/>
                <w:sz w:val="12"/>
                <w:szCs w:val="12"/>
                <w:lang w:val="en-US" w:eastAsia="en-US"/>
              </w:rPr>
              <w:t>18</w:t>
            </w:r>
          </w:p>
        </w:tc>
        <w:tc>
          <w:tcPr>
            <w:tcW w:w="2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4CD4F6" w14:textId="77777777" w:rsidR="00E4014C" w:rsidRDefault="00E4014C">
            <w:pPr>
              <w:rPr>
                <w:rFonts w:ascii="Calibri" w:hAnsi="Calibri" w:cs="Calibri"/>
                <w:sz w:val="22"/>
                <w:szCs w:val="22"/>
                <w:lang w:val="en-US"/>
              </w:rPr>
            </w:pPr>
            <w:r>
              <w:rPr>
                <w:rFonts w:ascii="Calibri" w:hAnsi="Calibri" w:cs="Calibri"/>
                <w:sz w:val="12"/>
                <w:szCs w:val="12"/>
                <w:lang w:val="en-US" w:eastAsia="en-US"/>
              </w:rPr>
              <w:t>19</w:t>
            </w:r>
          </w:p>
        </w:tc>
        <w:tc>
          <w:tcPr>
            <w:tcW w:w="2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92BF8C" w14:textId="77777777" w:rsidR="00E4014C" w:rsidRDefault="00E4014C">
            <w:pPr>
              <w:rPr>
                <w:rFonts w:ascii="Calibri" w:hAnsi="Calibri" w:cs="Calibri"/>
                <w:sz w:val="22"/>
                <w:szCs w:val="22"/>
                <w:lang w:val="en-US"/>
              </w:rPr>
            </w:pPr>
            <w:r>
              <w:rPr>
                <w:rFonts w:ascii="Calibri" w:hAnsi="Calibri" w:cs="Calibri"/>
                <w:sz w:val="12"/>
                <w:szCs w:val="12"/>
                <w:lang w:val="en-US" w:eastAsia="en-US"/>
              </w:rPr>
              <w:t>20</w:t>
            </w:r>
          </w:p>
        </w:tc>
        <w:tc>
          <w:tcPr>
            <w:tcW w:w="2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CB6A81" w14:textId="77777777" w:rsidR="00E4014C" w:rsidRDefault="00E4014C">
            <w:pPr>
              <w:rPr>
                <w:rFonts w:ascii="Calibri" w:hAnsi="Calibri" w:cs="Calibri"/>
                <w:sz w:val="22"/>
                <w:szCs w:val="22"/>
                <w:lang w:val="en-US"/>
              </w:rPr>
            </w:pPr>
            <w:r>
              <w:rPr>
                <w:rFonts w:ascii="Calibri" w:hAnsi="Calibri" w:cs="Calibri"/>
                <w:sz w:val="12"/>
                <w:szCs w:val="12"/>
                <w:lang w:val="en-US" w:eastAsia="en-US"/>
              </w:rPr>
              <w:t>21</w:t>
            </w:r>
          </w:p>
        </w:tc>
        <w:tc>
          <w:tcPr>
            <w:tcW w:w="2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C18817" w14:textId="77777777" w:rsidR="00E4014C" w:rsidRDefault="00E4014C">
            <w:pPr>
              <w:rPr>
                <w:rFonts w:ascii="Calibri" w:hAnsi="Calibri" w:cs="Calibri"/>
                <w:sz w:val="22"/>
                <w:szCs w:val="22"/>
                <w:lang w:val="en-US"/>
              </w:rPr>
            </w:pPr>
            <w:r>
              <w:rPr>
                <w:rFonts w:ascii="Calibri" w:hAnsi="Calibri" w:cs="Calibri"/>
                <w:sz w:val="12"/>
                <w:szCs w:val="12"/>
                <w:lang w:val="en-US" w:eastAsia="en-US"/>
              </w:rPr>
              <w:t>22</w:t>
            </w:r>
          </w:p>
        </w:tc>
        <w:tc>
          <w:tcPr>
            <w:tcW w:w="2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8EC128" w14:textId="77777777" w:rsidR="00E4014C" w:rsidRDefault="00E4014C">
            <w:pPr>
              <w:rPr>
                <w:rFonts w:ascii="Calibri" w:hAnsi="Calibri" w:cs="Calibri"/>
                <w:sz w:val="22"/>
                <w:szCs w:val="22"/>
                <w:lang w:val="en-US"/>
              </w:rPr>
            </w:pPr>
            <w:r>
              <w:rPr>
                <w:rFonts w:ascii="Calibri" w:hAnsi="Calibri" w:cs="Calibri"/>
                <w:sz w:val="12"/>
                <w:szCs w:val="12"/>
                <w:lang w:val="en-US" w:eastAsia="en-US"/>
              </w:rPr>
              <w:t>23</w:t>
            </w:r>
          </w:p>
        </w:tc>
        <w:tc>
          <w:tcPr>
            <w:tcW w:w="2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95148B" w14:textId="77777777" w:rsidR="00E4014C" w:rsidRDefault="00E4014C">
            <w:pPr>
              <w:rPr>
                <w:rFonts w:ascii="Calibri" w:hAnsi="Calibri" w:cs="Calibri"/>
                <w:sz w:val="22"/>
                <w:szCs w:val="22"/>
                <w:lang w:val="en-US"/>
              </w:rPr>
            </w:pPr>
            <w:r>
              <w:rPr>
                <w:rFonts w:ascii="Calibri" w:hAnsi="Calibri" w:cs="Calibri"/>
                <w:sz w:val="12"/>
                <w:szCs w:val="12"/>
                <w:lang w:val="en-US" w:eastAsia="en-US"/>
              </w:rPr>
              <w:t>24</w:t>
            </w:r>
          </w:p>
        </w:tc>
        <w:tc>
          <w:tcPr>
            <w:tcW w:w="2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41D963" w14:textId="77777777" w:rsidR="00E4014C" w:rsidRDefault="00E4014C">
            <w:pPr>
              <w:rPr>
                <w:rFonts w:ascii="Calibri" w:hAnsi="Calibri" w:cs="Calibri"/>
                <w:sz w:val="22"/>
                <w:szCs w:val="22"/>
                <w:lang w:val="en-US"/>
              </w:rPr>
            </w:pPr>
            <w:r>
              <w:rPr>
                <w:rFonts w:ascii="Calibri" w:hAnsi="Calibri" w:cs="Calibri"/>
                <w:sz w:val="12"/>
                <w:szCs w:val="12"/>
                <w:lang w:val="en-US" w:eastAsia="en-US"/>
              </w:rPr>
              <w:t>25</w:t>
            </w:r>
          </w:p>
        </w:tc>
        <w:tc>
          <w:tcPr>
            <w:tcW w:w="2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3D69FC" w14:textId="77777777" w:rsidR="00E4014C" w:rsidRDefault="00E4014C">
            <w:pPr>
              <w:rPr>
                <w:rFonts w:ascii="Calibri" w:hAnsi="Calibri" w:cs="Calibri"/>
                <w:sz w:val="22"/>
                <w:szCs w:val="22"/>
                <w:lang w:val="en-US"/>
              </w:rPr>
            </w:pPr>
            <w:r>
              <w:rPr>
                <w:rFonts w:ascii="Calibri" w:hAnsi="Calibri" w:cs="Calibri"/>
                <w:sz w:val="12"/>
                <w:szCs w:val="12"/>
                <w:lang w:val="en-US" w:eastAsia="en-US"/>
              </w:rPr>
              <w:t>26</w:t>
            </w:r>
          </w:p>
        </w:tc>
        <w:tc>
          <w:tcPr>
            <w:tcW w:w="2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1792CE" w14:textId="77777777" w:rsidR="00E4014C" w:rsidRDefault="00E4014C">
            <w:pPr>
              <w:rPr>
                <w:rFonts w:ascii="Calibri" w:hAnsi="Calibri" w:cs="Calibri"/>
                <w:sz w:val="22"/>
                <w:szCs w:val="22"/>
                <w:lang w:val="en-US"/>
              </w:rPr>
            </w:pPr>
            <w:r>
              <w:rPr>
                <w:rFonts w:ascii="Calibri" w:hAnsi="Calibri" w:cs="Calibri"/>
                <w:sz w:val="12"/>
                <w:szCs w:val="12"/>
                <w:lang w:val="en-US" w:eastAsia="en-US"/>
              </w:rPr>
              <w:t>27</w:t>
            </w:r>
          </w:p>
        </w:tc>
        <w:tc>
          <w:tcPr>
            <w:tcW w:w="2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67D3C1" w14:textId="77777777" w:rsidR="00E4014C" w:rsidRDefault="00E4014C">
            <w:pPr>
              <w:rPr>
                <w:rFonts w:ascii="Calibri" w:hAnsi="Calibri" w:cs="Calibri"/>
                <w:sz w:val="22"/>
                <w:szCs w:val="22"/>
                <w:lang w:val="en-US"/>
              </w:rPr>
            </w:pPr>
            <w:r>
              <w:rPr>
                <w:rFonts w:ascii="Calibri" w:hAnsi="Calibri" w:cs="Calibri"/>
                <w:sz w:val="12"/>
                <w:szCs w:val="12"/>
                <w:lang w:val="en-US" w:eastAsia="en-US"/>
              </w:rPr>
              <w:t>28</w:t>
            </w:r>
          </w:p>
        </w:tc>
        <w:tc>
          <w:tcPr>
            <w:tcW w:w="2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339B08" w14:textId="77777777" w:rsidR="00E4014C" w:rsidRDefault="00E4014C">
            <w:pPr>
              <w:rPr>
                <w:rFonts w:ascii="Calibri" w:hAnsi="Calibri" w:cs="Calibri"/>
                <w:sz w:val="22"/>
                <w:szCs w:val="22"/>
                <w:lang w:val="en-US"/>
              </w:rPr>
            </w:pPr>
            <w:r>
              <w:rPr>
                <w:rFonts w:ascii="Calibri" w:hAnsi="Calibri" w:cs="Calibri"/>
                <w:sz w:val="12"/>
                <w:szCs w:val="12"/>
                <w:lang w:val="en-US" w:eastAsia="en-US"/>
              </w:rPr>
              <w:t>29</w:t>
            </w:r>
          </w:p>
        </w:tc>
        <w:tc>
          <w:tcPr>
            <w:tcW w:w="2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CF6EED" w14:textId="77777777" w:rsidR="00E4014C" w:rsidRDefault="00E4014C">
            <w:pPr>
              <w:rPr>
                <w:rFonts w:ascii="Calibri" w:hAnsi="Calibri" w:cs="Calibri"/>
                <w:sz w:val="22"/>
                <w:szCs w:val="22"/>
                <w:lang w:val="en-US"/>
              </w:rPr>
            </w:pPr>
            <w:r>
              <w:rPr>
                <w:rFonts w:ascii="Calibri" w:hAnsi="Calibri" w:cs="Calibri"/>
                <w:sz w:val="12"/>
                <w:szCs w:val="12"/>
                <w:lang w:val="en-US" w:eastAsia="en-US"/>
              </w:rPr>
              <w:t>30</w:t>
            </w:r>
          </w:p>
        </w:tc>
        <w:tc>
          <w:tcPr>
            <w:tcW w:w="2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DF5F07" w14:textId="77777777" w:rsidR="00E4014C" w:rsidRDefault="00E4014C">
            <w:pPr>
              <w:rPr>
                <w:rFonts w:ascii="Calibri" w:hAnsi="Calibri" w:cs="Calibri"/>
                <w:sz w:val="22"/>
                <w:szCs w:val="22"/>
                <w:lang w:val="en-US"/>
              </w:rPr>
            </w:pPr>
            <w:r>
              <w:rPr>
                <w:rFonts w:ascii="Calibri" w:hAnsi="Calibri" w:cs="Calibri"/>
                <w:sz w:val="12"/>
                <w:szCs w:val="12"/>
                <w:lang w:val="en-US" w:eastAsia="en-US"/>
              </w:rPr>
              <w:t>31</w:t>
            </w:r>
          </w:p>
        </w:tc>
        <w:tc>
          <w:tcPr>
            <w:tcW w:w="2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4D5CB7" w14:textId="77777777" w:rsidR="00E4014C" w:rsidRDefault="00E4014C">
            <w:pPr>
              <w:rPr>
                <w:rFonts w:ascii="Calibri" w:hAnsi="Calibri" w:cs="Calibri"/>
                <w:sz w:val="22"/>
                <w:szCs w:val="22"/>
                <w:lang w:val="en-US"/>
              </w:rPr>
            </w:pPr>
            <w:r>
              <w:rPr>
                <w:rFonts w:ascii="Calibri" w:hAnsi="Calibri" w:cs="Calibri"/>
                <w:sz w:val="12"/>
                <w:szCs w:val="12"/>
                <w:lang w:val="en-US" w:eastAsia="en-US"/>
              </w:rPr>
              <w:t>32</w:t>
            </w:r>
          </w:p>
        </w:tc>
      </w:tr>
      <w:tr w:rsidR="00C65383" w14:paraId="1FC05C4D" w14:textId="77777777" w:rsidTr="00C65383">
        <w:tc>
          <w:tcPr>
            <w:tcW w:w="8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0BBD60" w14:textId="77777777" w:rsidR="00E4014C" w:rsidRDefault="00E4014C">
            <w:pPr>
              <w:rPr>
                <w:rFonts w:ascii="Calibri" w:hAnsi="Calibri" w:cs="Calibri"/>
                <w:sz w:val="12"/>
                <w:szCs w:val="12"/>
                <w:lang w:val="en-US" w:eastAsia="en-US"/>
              </w:rPr>
            </w:pPr>
            <w:r>
              <w:rPr>
                <w:rFonts w:ascii="Calibri" w:hAnsi="Calibri" w:cs="Calibri"/>
                <w:sz w:val="12"/>
                <w:szCs w:val="12"/>
                <w:lang w:val="en-US" w:eastAsia="en-US"/>
              </w:rPr>
              <w:t>NPDCCH</w:t>
            </w:r>
          </w:p>
        </w:tc>
        <w:tc>
          <w:tcPr>
            <w:tcW w:w="236" w:type="dxa"/>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hideMark/>
          </w:tcPr>
          <w:p w14:paraId="666CC81E" w14:textId="77777777" w:rsidR="00E4014C" w:rsidRDefault="00E4014C" w:rsidP="00C65383">
            <w:pPr>
              <w:jc w:val="center"/>
              <w:rPr>
                <w:rFonts w:ascii="Calibri" w:hAnsi="Calibri" w:cs="Calibri"/>
                <w:sz w:val="12"/>
                <w:szCs w:val="12"/>
                <w:lang w:val="en-US" w:eastAsia="en-US"/>
              </w:rPr>
            </w:pPr>
            <w:r>
              <w:rPr>
                <w:rFonts w:ascii="Calibri" w:hAnsi="Calibri" w:cs="Calibri"/>
                <w:color w:val="000000"/>
                <w:sz w:val="12"/>
                <w:szCs w:val="12"/>
                <w:lang w:val="en-US" w:eastAsia="en-US"/>
              </w:rPr>
              <w:t>0</w:t>
            </w:r>
          </w:p>
        </w:tc>
        <w:tc>
          <w:tcPr>
            <w:tcW w:w="245" w:type="dxa"/>
            <w:tcBorders>
              <w:top w:val="nil"/>
              <w:left w:val="nil"/>
              <w:bottom w:val="single" w:sz="8" w:space="0" w:color="auto"/>
              <w:right w:val="single" w:sz="8" w:space="0" w:color="auto"/>
            </w:tcBorders>
            <w:tcMar>
              <w:top w:w="0" w:type="dxa"/>
              <w:left w:w="108" w:type="dxa"/>
              <w:bottom w:w="0" w:type="dxa"/>
              <w:right w:w="108" w:type="dxa"/>
            </w:tcMar>
          </w:tcPr>
          <w:p w14:paraId="7646023C" w14:textId="77777777" w:rsidR="00E4014C" w:rsidRDefault="00E4014C">
            <w:pPr>
              <w:rPr>
                <w:rFonts w:ascii="Calibri" w:hAnsi="Calibri" w:cs="Calibri"/>
                <w:sz w:val="12"/>
                <w:szCs w:val="12"/>
                <w:lang w:val="en-US" w:eastAsia="en-US"/>
              </w:rPr>
            </w:pPr>
          </w:p>
        </w:tc>
        <w:tc>
          <w:tcPr>
            <w:tcW w:w="245" w:type="dxa"/>
            <w:tcBorders>
              <w:top w:val="nil"/>
              <w:left w:val="nil"/>
              <w:bottom w:val="single" w:sz="8" w:space="0" w:color="auto"/>
              <w:right w:val="single" w:sz="8" w:space="0" w:color="auto"/>
            </w:tcBorders>
            <w:tcMar>
              <w:top w:w="0" w:type="dxa"/>
              <w:left w:w="108" w:type="dxa"/>
              <w:bottom w:w="0" w:type="dxa"/>
              <w:right w:w="108" w:type="dxa"/>
            </w:tcMar>
          </w:tcPr>
          <w:p w14:paraId="76D0A1BE" w14:textId="77777777" w:rsidR="00E4014C" w:rsidRDefault="00E4014C">
            <w:pPr>
              <w:rPr>
                <w:rFonts w:ascii="Calibri" w:hAnsi="Calibri" w:cs="Calibri"/>
                <w:sz w:val="12"/>
                <w:szCs w:val="12"/>
                <w:lang w:val="en-US" w:eastAsia="en-US"/>
              </w:rPr>
            </w:pPr>
          </w:p>
        </w:tc>
        <w:tc>
          <w:tcPr>
            <w:tcW w:w="245" w:type="dxa"/>
            <w:tcBorders>
              <w:top w:val="nil"/>
              <w:left w:val="nil"/>
              <w:bottom w:val="single" w:sz="8" w:space="0" w:color="auto"/>
              <w:right w:val="single" w:sz="8" w:space="0" w:color="auto"/>
            </w:tcBorders>
            <w:tcMar>
              <w:top w:w="0" w:type="dxa"/>
              <w:left w:w="108" w:type="dxa"/>
              <w:bottom w:w="0" w:type="dxa"/>
              <w:right w:w="108" w:type="dxa"/>
            </w:tcMar>
          </w:tcPr>
          <w:p w14:paraId="3CD9F03B" w14:textId="77777777" w:rsidR="00E4014C" w:rsidRDefault="00E4014C">
            <w:pPr>
              <w:rPr>
                <w:rFonts w:ascii="Calibri" w:hAnsi="Calibri" w:cs="Calibri"/>
                <w:sz w:val="12"/>
                <w:szCs w:val="12"/>
                <w:lang w:val="en-US" w:eastAsia="en-US"/>
              </w:rPr>
            </w:pPr>
          </w:p>
        </w:tc>
        <w:tc>
          <w:tcPr>
            <w:tcW w:w="245" w:type="dxa"/>
            <w:tcBorders>
              <w:top w:val="nil"/>
              <w:left w:val="nil"/>
              <w:bottom w:val="single" w:sz="8" w:space="0" w:color="auto"/>
              <w:right w:val="single" w:sz="8" w:space="0" w:color="auto"/>
            </w:tcBorders>
            <w:tcMar>
              <w:top w:w="0" w:type="dxa"/>
              <w:left w:w="108" w:type="dxa"/>
              <w:bottom w:w="0" w:type="dxa"/>
              <w:right w:w="108" w:type="dxa"/>
            </w:tcMar>
          </w:tcPr>
          <w:p w14:paraId="0FE1EB2B" w14:textId="77777777" w:rsidR="00E4014C" w:rsidRDefault="00E4014C">
            <w:pPr>
              <w:rPr>
                <w:rFonts w:ascii="Calibri" w:hAnsi="Calibri" w:cs="Calibri"/>
                <w:sz w:val="12"/>
                <w:szCs w:val="12"/>
                <w:lang w:val="en-US" w:eastAsia="en-US"/>
              </w:rPr>
            </w:pPr>
          </w:p>
        </w:tc>
        <w:tc>
          <w:tcPr>
            <w:tcW w:w="301" w:type="dxa"/>
            <w:tcBorders>
              <w:top w:val="nil"/>
              <w:left w:val="nil"/>
              <w:bottom w:val="single" w:sz="8" w:space="0" w:color="auto"/>
              <w:right w:val="single" w:sz="8" w:space="0" w:color="auto"/>
            </w:tcBorders>
            <w:tcMar>
              <w:top w:w="0" w:type="dxa"/>
              <w:left w:w="108" w:type="dxa"/>
              <w:bottom w:w="0" w:type="dxa"/>
              <w:right w:w="108" w:type="dxa"/>
            </w:tcMar>
          </w:tcPr>
          <w:p w14:paraId="69077B07" w14:textId="77777777" w:rsidR="00E4014C" w:rsidRDefault="00E4014C">
            <w:pPr>
              <w:rPr>
                <w:rFonts w:ascii="Calibri" w:hAnsi="Calibri" w:cs="Calibri"/>
                <w:sz w:val="12"/>
                <w:szCs w:val="12"/>
                <w:lang w:val="en-US" w:eastAsia="en-US"/>
              </w:rPr>
            </w:pPr>
          </w:p>
        </w:tc>
        <w:tc>
          <w:tcPr>
            <w:tcW w:w="303" w:type="dxa"/>
            <w:tcBorders>
              <w:top w:val="nil"/>
              <w:left w:val="nil"/>
              <w:bottom w:val="single" w:sz="8" w:space="0" w:color="auto"/>
              <w:right w:val="single" w:sz="8" w:space="0" w:color="auto"/>
            </w:tcBorders>
            <w:tcMar>
              <w:top w:w="0" w:type="dxa"/>
              <w:left w:w="108" w:type="dxa"/>
              <w:bottom w:w="0" w:type="dxa"/>
              <w:right w:w="108" w:type="dxa"/>
            </w:tcMar>
          </w:tcPr>
          <w:p w14:paraId="5F07B467" w14:textId="77777777" w:rsidR="00E4014C" w:rsidRDefault="00E4014C">
            <w:pPr>
              <w:rPr>
                <w:rFonts w:ascii="Calibri" w:hAnsi="Calibri" w:cs="Calibri"/>
                <w:sz w:val="12"/>
                <w:szCs w:val="12"/>
                <w:lang w:val="en-US" w:eastAsia="en-US"/>
              </w:rPr>
            </w:pPr>
          </w:p>
        </w:tc>
        <w:tc>
          <w:tcPr>
            <w:tcW w:w="298" w:type="dxa"/>
            <w:tcBorders>
              <w:top w:val="nil"/>
              <w:left w:val="nil"/>
              <w:bottom w:val="single" w:sz="8" w:space="0" w:color="auto"/>
              <w:right w:val="single" w:sz="8" w:space="0" w:color="auto"/>
            </w:tcBorders>
            <w:tcMar>
              <w:top w:w="0" w:type="dxa"/>
              <w:left w:w="108" w:type="dxa"/>
              <w:bottom w:w="0" w:type="dxa"/>
              <w:right w:w="108" w:type="dxa"/>
            </w:tcMar>
          </w:tcPr>
          <w:p w14:paraId="45A0ACBC" w14:textId="77777777" w:rsidR="00E4014C" w:rsidRDefault="00E4014C">
            <w:pPr>
              <w:rPr>
                <w:rFonts w:ascii="Calibri" w:hAnsi="Calibri" w:cs="Calibri"/>
                <w:sz w:val="12"/>
                <w:szCs w:val="12"/>
                <w:lang w:val="en-US" w:eastAsia="en-US"/>
              </w:rPr>
            </w:pPr>
          </w:p>
        </w:tc>
        <w:tc>
          <w:tcPr>
            <w:tcW w:w="303" w:type="dxa"/>
            <w:tcBorders>
              <w:top w:val="nil"/>
              <w:left w:val="nil"/>
              <w:bottom w:val="single" w:sz="8" w:space="0" w:color="auto"/>
              <w:right w:val="single" w:sz="8" w:space="0" w:color="auto"/>
            </w:tcBorders>
            <w:tcMar>
              <w:top w:w="0" w:type="dxa"/>
              <w:left w:w="108" w:type="dxa"/>
              <w:bottom w:w="0" w:type="dxa"/>
              <w:right w:w="108" w:type="dxa"/>
            </w:tcMar>
          </w:tcPr>
          <w:p w14:paraId="400F6F8E" w14:textId="77777777" w:rsidR="00E4014C" w:rsidRDefault="00E4014C">
            <w:pPr>
              <w:rPr>
                <w:rFonts w:ascii="Calibri" w:hAnsi="Calibri" w:cs="Calibri"/>
                <w:sz w:val="12"/>
                <w:szCs w:val="12"/>
                <w:lang w:val="en-US" w:eastAsia="en-US"/>
              </w:rPr>
            </w:pPr>
          </w:p>
        </w:tc>
        <w:tc>
          <w:tcPr>
            <w:tcW w:w="302" w:type="dxa"/>
            <w:tcBorders>
              <w:top w:val="nil"/>
              <w:left w:val="nil"/>
              <w:bottom w:val="single" w:sz="8" w:space="0" w:color="auto"/>
              <w:right w:val="single" w:sz="8" w:space="0" w:color="auto"/>
            </w:tcBorders>
            <w:tcMar>
              <w:top w:w="0" w:type="dxa"/>
              <w:left w:w="108" w:type="dxa"/>
              <w:bottom w:w="0" w:type="dxa"/>
              <w:right w:w="108" w:type="dxa"/>
            </w:tcMar>
          </w:tcPr>
          <w:p w14:paraId="2B376A76" w14:textId="77777777" w:rsidR="00E4014C" w:rsidRDefault="00E4014C">
            <w:pPr>
              <w:rPr>
                <w:rFonts w:ascii="Calibri" w:hAnsi="Calibri" w:cs="Calibri"/>
                <w:sz w:val="12"/>
                <w:szCs w:val="12"/>
                <w:lang w:val="en-US" w:eastAsia="en-US"/>
              </w:rPr>
            </w:pPr>
          </w:p>
        </w:tc>
        <w:tc>
          <w:tcPr>
            <w:tcW w:w="291" w:type="dxa"/>
            <w:tcBorders>
              <w:top w:val="nil"/>
              <w:left w:val="nil"/>
              <w:bottom w:val="single" w:sz="8" w:space="0" w:color="auto"/>
              <w:right w:val="single" w:sz="8" w:space="0" w:color="auto"/>
            </w:tcBorders>
            <w:tcMar>
              <w:top w:w="0" w:type="dxa"/>
              <w:left w:w="108" w:type="dxa"/>
              <w:bottom w:w="0" w:type="dxa"/>
              <w:right w:w="108" w:type="dxa"/>
            </w:tcMar>
          </w:tcPr>
          <w:p w14:paraId="07FBFC79" w14:textId="77777777" w:rsidR="00E4014C" w:rsidRDefault="00E4014C">
            <w:pPr>
              <w:rPr>
                <w:rFonts w:ascii="Calibri" w:hAnsi="Calibri" w:cs="Calibri"/>
                <w:sz w:val="12"/>
                <w:szCs w:val="12"/>
                <w:lang w:val="en-US" w:eastAsia="en-US"/>
              </w:rPr>
            </w:pPr>
          </w:p>
        </w:tc>
        <w:tc>
          <w:tcPr>
            <w:tcW w:w="300" w:type="dxa"/>
            <w:tcBorders>
              <w:top w:val="nil"/>
              <w:left w:val="nil"/>
              <w:bottom w:val="single" w:sz="8" w:space="0" w:color="auto"/>
              <w:right w:val="single" w:sz="8" w:space="0" w:color="auto"/>
            </w:tcBorders>
            <w:tcMar>
              <w:top w:w="0" w:type="dxa"/>
              <w:left w:w="108" w:type="dxa"/>
              <w:bottom w:w="0" w:type="dxa"/>
              <w:right w:w="108" w:type="dxa"/>
            </w:tcMar>
          </w:tcPr>
          <w:p w14:paraId="69116BFF" w14:textId="77777777" w:rsidR="00E4014C" w:rsidRDefault="00E4014C">
            <w:pPr>
              <w:rPr>
                <w:rFonts w:ascii="Calibri" w:hAnsi="Calibri" w:cs="Calibri"/>
                <w:sz w:val="12"/>
                <w:szCs w:val="12"/>
                <w:lang w:val="en-US" w:eastAsia="en-US"/>
              </w:rPr>
            </w:pPr>
          </w:p>
        </w:tc>
        <w:tc>
          <w:tcPr>
            <w:tcW w:w="303" w:type="dxa"/>
            <w:tcBorders>
              <w:top w:val="nil"/>
              <w:left w:val="nil"/>
              <w:bottom w:val="single" w:sz="8" w:space="0" w:color="auto"/>
              <w:right w:val="single" w:sz="8" w:space="0" w:color="auto"/>
            </w:tcBorders>
            <w:tcMar>
              <w:top w:w="0" w:type="dxa"/>
              <w:left w:w="108" w:type="dxa"/>
              <w:bottom w:w="0" w:type="dxa"/>
              <w:right w:w="108" w:type="dxa"/>
            </w:tcMar>
          </w:tcPr>
          <w:p w14:paraId="5C68FEC2" w14:textId="77777777" w:rsidR="00E4014C" w:rsidRDefault="00E4014C">
            <w:pPr>
              <w:rPr>
                <w:rFonts w:ascii="Calibri" w:hAnsi="Calibri" w:cs="Calibri"/>
                <w:sz w:val="12"/>
                <w:szCs w:val="12"/>
                <w:lang w:val="en-US" w:eastAsia="en-US"/>
              </w:rPr>
            </w:pPr>
          </w:p>
        </w:tc>
        <w:tc>
          <w:tcPr>
            <w:tcW w:w="287" w:type="dxa"/>
            <w:tcBorders>
              <w:top w:val="nil"/>
              <w:left w:val="nil"/>
              <w:bottom w:val="single" w:sz="8" w:space="0" w:color="auto"/>
              <w:right w:val="single" w:sz="8" w:space="0" w:color="auto"/>
            </w:tcBorders>
            <w:tcMar>
              <w:top w:w="0" w:type="dxa"/>
              <w:left w:w="108" w:type="dxa"/>
              <w:bottom w:w="0" w:type="dxa"/>
              <w:right w:w="108" w:type="dxa"/>
            </w:tcMar>
          </w:tcPr>
          <w:p w14:paraId="4302529C" w14:textId="77777777" w:rsidR="00E4014C" w:rsidRDefault="00E4014C">
            <w:pPr>
              <w:rPr>
                <w:rFonts w:ascii="Calibri" w:hAnsi="Calibri" w:cs="Calibri"/>
                <w:sz w:val="12"/>
                <w:szCs w:val="12"/>
                <w:lang w:val="en-US" w:eastAsia="en-US"/>
              </w:rPr>
            </w:pPr>
          </w:p>
        </w:tc>
        <w:tc>
          <w:tcPr>
            <w:tcW w:w="287" w:type="dxa"/>
            <w:tcBorders>
              <w:top w:val="nil"/>
              <w:left w:val="nil"/>
              <w:bottom w:val="single" w:sz="8" w:space="0" w:color="auto"/>
              <w:right w:val="single" w:sz="8" w:space="0" w:color="auto"/>
            </w:tcBorders>
            <w:tcMar>
              <w:top w:w="0" w:type="dxa"/>
              <w:left w:w="108" w:type="dxa"/>
              <w:bottom w:w="0" w:type="dxa"/>
              <w:right w:w="108" w:type="dxa"/>
            </w:tcMar>
          </w:tcPr>
          <w:p w14:paraId="4B28075C"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59AF2259"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2EC58693"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6AC891DD"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2B90AAAC"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67F044CD"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078C4EC8"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2CB70E1F"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05A58F56"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3B788213"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1922F6B6"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6D5F557E"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7D5FB782"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5C0FF66D"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6B6DABB5"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69611F1C"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4DF365CA"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0D94D073"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210D8BFE" w14:textId="77777777" w:rsidR="00E4014C" w:rsidRDefault="00E4014C">
            <w:pPr>
              <w:rPr>
                <w:rFonts w:ascii="Calibri" w:hAnsi="Calibri" w:cs="Calibri"/>
                <w:sz w:val="12"/>
                <w:szCs w:val="12"/>
                <w:lang w:val="en-US" w:eastAsia="en-US"/>
              </w:rPr>
            </w:pPr>
          </w:p>
        </w:tc>
      </w:tr>
      <w:tr w:rsidR="00C65383" w14:paraId="2D661AC3" w14:textId="77777777" w:rsidTr="00C65383">
        <w:tc>
          <w:tcPr>
            <w:tcW w:w="8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A1C553" w14:textId="77777777" w:rsidR="00E4014C" w:rsidRDefault="00E4014C">
            <w:pPr>
              <w:rPr>
                <w:rFonts w:ascii="Calibri" w:hAnsi="Calibri" w:cs="Calibri"/>
                <w:sz w:val="12"/>
                <w:szCs w:val="12"/>
                <w:lang w:val="en-US" w:eastAsia="en-US"/>
              </w:rPr>
            </w:pPr>
            <w:r>
              <w:rPr>
                <w:rFonts w:ascii="Calibri" w:hAnsi="Calibri" w:cs="Calibri"/>
                <w:sz w:val="12"/>
                <w:szCs w:val="12"/>
                <w:lang w:val="en-US" w:eastAsia="en-US"/>
              </w:rPr>
              <w:t>NPDSCH</w:t>
            </w:r>
          </w:p>
        </w:tc>
        <w:tc>
          <w:tcPr>
            <w:tcW w:w="236" w:type="dxa"/>
            <w:tcBorders>
              <w:top w:val="nil"/>
              <w:left w:val="nil"/>
              <w:bottom w:val="single" w:sz="8" w:space="0" w:color="auto"/>
              <w:right w:val="single" w:sz="8" w:space="0" w:color="auto"/>
            </w:tcBorders>
            <w:tcMar>
              <w:top w:w="0" w:type="dxa"/>
              <w:left w:w="108" w:type="dxa"/>
              <w:bottom w:w="0" w:type="dxa"/>
              <w:right w:w="108" w:type="dxa"/>
            </w:tcMar>
          </w:tcPr>
          <w:p w14:paraId="261BC258" w14:textId="77777777" w:rsidR="00E4014C" w:rsidRDefault="00E4014C">
            <w:pPr>
              <w:rPr>
                <w:rFonts w:ascii="Calibri" w:hAnsi="Calibri" w:cs="Calibri"/>
                <w:sz w:val="12"/>
                <w:szCs w:val="12"/>
                <w:lang w:val="en-US" w:eastAsia="en-US"/>
              </w:rPr>
            </w:pPr>
          </w:p>
        </w:tc>
        <w:tc>
          <w:tcPr>
            <w:tcW w:w="245" w:type="dxa"/>
            <w:tcBorders>
              <w:top w:val="nil"/>
              <w:left w:val="nil"/>
              <w:bottom w:val="single" w:sz="8" w:space="0" w:color="auto"/>
              <w:right w:val="single" w:sz="8" w:space="0" w:color="auto"/>
            </w:tcBorders>
            <w:tcMar>
              <w:top w:w="0" w:type="dxa"/>
              <w:left w:w="108" w:type="dxa"/>
              <w:bottom w:w="0" w:type="dxa"/>
              <w:right w:w="108" w:type="dxa"/>
            </w:tcMar>
          </w:tcPr>
          <w:p w14:paraId="11FB5E7F" w14:textId="77777777" w:rsidR="00E4014C" w:rsidRDefault="00E4014C">
            <w:pPr>
              <w:rPr>
                <w:rFonts w:ascii="Calibri" w:hAnsi="Calibri" w:cs="Calibri"/>
                <w:sz w:val="12"/>
                <w:szCs w:val="12"/>
                <w:lang w:val="en-US" w:eastAsia="en-US"/>
              </w:rPr>
            </w:pPr>
          </w:p>
        </w:tc>
        <w:tc>
          <w:tcPr>
            <w:tcW w:w="245" w:type="dxa"/>
            <w:tcBorders>
              <w:top w:val="nil"/>
              <w:left w:val="nil"/>
              <w:bottom w:val="single" w:sz="8" w:space="0" w:color="auto"/>
              <w:right w:val="single" w:sz="8" w:space="0" w:color="auto"/>
            </w:tcBorders>
            <w:tcMar>
              <w:top w:w="0" w:type="dxa"/>
              <w:left w:w="108" w:type="dxa"/>
              <w:bottom w:w="0" w:type="dxa"/>
              <w:right w:w="108" w:type="dxa"/>
            </w:tcMar>
          </w:tcPr>
          <w:p w14:paraId="7364EE46" w14:textId="77777777" w:rsidR="00E4014C" w:rsidRDefault="00E4014C">
            <w:pPr>
              <w:rPr>
                <w:rFonts w:ascii="Calibri" w:hAnsi="Calibri" w:cs="Calibri"/>
                <w:sz w:val="12"/>
                <w:szCs w:val="12"/>
                <w:lang w:val="en-US" w:eastAsia="en-US"/>
              </w:rPr>
            </w:pPr>
          </w:p>
        </w:tc>
        <w:tc>
          <w:tcPr>
            <w:tcW w:w="245" w:type="dxa"/>
            <w:tcBorders>
              <w:top w:val="nil"/>
              <w:left w:val="nil"/>
              <w:bottom w:val="single" w:sz="8" w:space="0" w:color="auto"/>
              <w:right w:val="single" w:sz="8" w:space="0" w:color="auto"/>
            </w:tcBorders>
            <w:tcMar>
              <w:top w:w="0" w:type="dxa"/>
              <w:left w:w="108" w:type="dxa"/>
              <w:bottom w:w="0" w:type="dxa"/>
              <w:right w:w="108" w:type="dxa"/>
            </w:tcMar>
          </w:tcPr>
          <w:p w14:paraId="0215DFDB" w14:textId="77777777" w:rsidR="00E4014C" w:rsidRDefault="00E4014C">
            <w:pPr>
              <w:rPr>
                <w:rFonts w:ascii="Calibri" w:hAnsi="Calibri" w:cs="Calibri"/>
                <w:sz w:val="12"/>
                <w:szCs w:val="12"/>
                <w:lang w:val="en-US" w:eastAsia="en-US"/>
              </w:rPr>
            </w:pPr>
          </w:p>
        </w:tc>
        <w:tc>
          <w:tcPr>
            <w:tcW w:w="245" w:type="dxa"/>
            <w:tcBorders>
              <w:top w:val="nil"/>
              <w:left w:val="nil"/>
              <w:bottom w:val="single" w:sz="8" w:space="0" w:color="auto"/>
              <w:right w:val="single" w:sz="8" w:space="0" w:color="auto"/>
            </w:tcBorders>
            <w:tcMar>
              <w:top w:w="0" w:type="dxa"/>
              <w:left w:w="108" w:type="dxa"/>
              <w:bottom w:w="0" w:type="dxa"/>
              <w:right w:w="108" w:type="dxa"/>
            </w:tcMar>
          </w:tcPr>
          <w:p w14:paraId="1C3981BE" w14:textId="77777777" w:rsidR="00E4014C" w:rsidRDefault="00E4014C">
            <w:pPr>
              <w:rPr>
                <w:rFonts w:ascii="Calibri" w:hAnsi="Calibri" w:cs="Calibri"/>
                <w:sz w:val="12"/>
                <w:szCs w:val="12"/>
                <w:lang w:val="en-US" w:eastAsia="en-US"/>
              </w:rPr>
            </w:pPr>
          </w:p>
        </w:tc>
        <w:tc>
          <w:tcPr>
            <w:tcW w:w="301"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hideMark/>
          </w:tcPr>
          <w:p w14:paraId="65331DCE" w14:textId="50E66225" w:rsidR="00E4014C" w:rsidRDefault="00C65383">
            <w:pPr>
              <w:rPr>
                <w:rFonts w:ascii="Calibri" w:hAnsi="Calibri" w:cs="Calibri"/>
                <w:sz w:val="12"/>
                <w:szCs w:val="12"/>
                <w:lang w:val="en-US" w:eastAsia="en-US"/>
              </w:rPr>
            </w:pPr>
            <w:r>
              <w:rPr>
                <w:rFonts w:ascii="Calibri" w:hAnsi="Calibri" w:cs="Calibri"/>
                <w:color w:val="000000"/>
                <w:sz w:val="12"/>
                <w:szCs w:val="12"/>
                <w:lang w:val="en-US" w:eastAsia="en-US"/>
              </w:rPr>
              <w:t>0</w:t>
            </w:r>
          </w:p>
        </w:tc>
        <w:tc>
          <w:tcPr>
            <w:tcW w:w="303"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hideMark/>
          </w:tcPr>
          <w:p w14:paraId="750B5920" w14:textId="6496E39C" w:rsidR="00E4014C" w:rsidRDefault="00E4014C">
            <w:pPr>
              <w:rPr>
                <w:rFonts w:ascii="Calibri" w:hAnsi="Calibri" w:cs="Calibri"/>
                <w:sz w:val="12"/>
                <w:szCs w:val="12"/>
                <w:lang w:val="en-US" w:eastAsia="en-US"/>
              </w:rPr>
            </w:pPr>
            <w:r>
              <w:rPr>
                <w:rFonts w:ascii="Calibri" w:hAnsi="Calibri" w:cs="Calibri"/>
                <w:color w:val="000000"/>
                <w:sz w:val="12"/>
                <w:szCs w:val="12"/>
                <w:lang w:val="en-US" w:eastAsia="en-US"/>
              </w:rPr>
              <w:t>0</w:t>
            </w:r>
          </w:p>
        </w:tc>
        <w:tc>
          <w:tcPr>
            <w:tcW w:w="298"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hideMark/>
          </w:tcPr>
          <w:p w14:paraId="4F67130A" w14:textId="1A7DE082" w:rsidR="00E4014C" w:rsidRDefault="00E4014C">
            <w:pPr>
              <w:rPr>
                <w:rFonts w:ascii="Calibri" w:hAnsi="Calibri" w:cs="Calibri"/>
                <w:sz w:val="12"/>
                <w:szCs w:val="12"/>
                <w:lang w:val="en-US" w:eastAsia="en-US"/>
              </w:rPr>
            </w:pPr>
            <w:r>
              <w:rPr>
                <w:rFonts w:ascii="Calibri" w:hAnsi="Calibri" w:cs="Calibri"/>
                <w:color w:val="000000"/>
                <w:sz w:val="12"/>
                <w:szCs w:val="12"/>
                <w:lang w:val="en-US" w:eastAsia="en-US"/>
              </w:rPr>
              <w:t>0</w:t>
            </w:r>
          </w:p>
        </w:tc>
        <w:tc>
          <w:tcPr>
            <w:tcW w:w="303"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hideMark/>
          </w:tcPr>
          <w:p w14:paraId="40524E8F" w14:textId="180C7F20" w:rsidR="00E4014C" w:rsidRDefault="00E4014C">
            <w:pPr>
              <w:rPr>
                <w:rFonts w:ascii="Calibri" w:hAnsi="Calibri" w:cs="Calibri"/>
                <w:sz w:val="12"/>
                <w:szCs w:val="12"/>
                <w:lang w:val="en-US" w:eastAsia="en-US"/>
              </w:rPr>
            </w:pPr>
            <w:r>
              <w:rPr>
                <w:rFonts w:ascii="Calibri" w:hAnsi="Calibri" w:cs="Calibri"/>
                <w:color w:val="000000"/>
                <w:sz w:val="12"/>
                <w:szCs w:val="12"/>
                <w:lang w:val="en-US" w:eastAsia="en-US"/>
              </w:rPr>
              <w:t>0</w:t>
            </w:r>
          </w:p>
        </w:tc>
        <w:tc>
          <w:tcPr>
            <w:tcW w:w="302"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hideMark/>
          </w:tcPr>
          <w:p w14:paraId="309C9B51" w14:textId="68035828" w:rsidR="00E4014C" w:rsidRDefault="00E4014C">
            <w:pPr>
              <w:rPr>
                <w:rFonts w:ascii="Calibri" w:hAnsi="Calibri" w:cs="Calibri"/>
                <w:sz w:val="12"/>
                <w:szCs w:val="12"/>
                <w:lang w:val="en-US" w:eastAsia="en-US"/>
              </w:rPr>
            </w:pPr>
            <w:r>
              <w:rPr>
                <w:rFonts w:ascii="Calibri" w:hAnsi="Calibri" w:cs="Calibri"/>
                <w:color w:val="000000"/>
                <w:sz w:val="12"/>
                <w:szCs w:val="12"/>
                <w:lang w:val="en-US" w:eastAsia="en-US"/>
              </w:rPr>
              <w:t>0</w:t>
            </w:r>
          </w:p>
        </w:tc>
        <w:tc>
          <w:tcPr>
            <w:tcW w:w="291"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hideMark/>
          </w:tcPr>
          <w:p w14:paraId="02FF4454" w14:textId="09142D3F" w:rsidR="00E4014C" w:rsidRDefault="00E4014C">
            <w:pPr>
              <w:rPr>
                <w:rFonts w:ascii="Calibri" w:hAnsi="Calibri" w:cs="Calibri"/>
                <w:sz w:val="12"/>
                <w:szCs w:val="12"/>
                <w:lang w:val="en-US" w:eastAsia="en-US"/>
              </w:rPr>
            </w:pPr>
            <w:r>
              <w:rPr>
                <w:rFonts w:ascii="Calibri" w:hAnsi="Calibri" w:cs="Calibri"/>
                <w:color w:val="000000"/>
                <w:sz w:val="12"/>
                <w:szCs w:val="12"/>
                <w:lang w:val="en-US" w:eastAsia="en-US"/>
              </w:rPr>
              <w:t>0</w:t>
            </w:r>
          </w:p>
        </w:tc>
        <w:tc>
          <w:tcPr>
            <w:tcW w:w="300"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hideMark/>
          </w:tcPr>
          <w:p w14:paraId="15ECEC16" w14:textId="54129004" w:rsidR="00E4014C" w:rsidRDefault="00E4014C">
            <w:pPr>
              <w:rPr>
                <w:rFonts w:ascii="Calibri" w:hAnsi="Calibri" w:cs="Calibri"/>
                <w:sz w:val="12"/>
                <w:szCs w:val="12"/>
                <w:lang w:val="en-US" w:eastAsia="en-US"/>
              </w:rPr>
            </w:pPr>
            <w:r>
              <w:rPr>
                <w:rFonts w:ascii="Calibri" w:hAnsi="Calibri" w:cs="Calibri"/>
                <w:color w:val="000000"/>
                <w:sz w:val="12"/>
                <w:szCs w:val="12"/>
                <w:lang w:val="en-US" w:eastAsia="en-US"/>
              </w:rPr>
              <w:t>0</w:t>
            </w:r>
          </w:p>
        </w:tc>
        <w:tc>
          <w:tcPr>
            <w:tcW w:w="303"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hideMark/>
          </w:tcPr>
          <w:p w14:paraId="3D29C9DB" w14:textId="186DDDB3" w:rsidR="00E4014C" w:rsidRDefault="00E4014C">
            <w:pPr>
              <w:rPr>
                <w:rFonts w:ascii="Calibri" w:hAnsi="Calibri" w:cs="Calibri"/>
                <w:sz w:val="12"/>
                <w:szCs w:val="12"/>
                <w:lang w:val="en-US" w:eastAsia="en-US"/>
              </w:rPr>
            </w:pPr>
            <w:r>
              <w:rPr>
                <w:rFonts w:ascii="Calibri" w:hAnsi="Calibri" w:cs="Calibri"/>
                <w:color w:val="000000"/>
                <w:sz w:val="12"/>
                <w:szCs w:val="12"/>
                <w:lang w:val="en-US" w:eastAsia="en-US"/>
              </w:rPr>
              <w:t>0</w:t>
            </w:r>
          </w:p>
        </w:tc>
        <w:tc>
          <w:tcPr>
            <w:tcW w:w="287"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hideMark/>
          </w:tcPr>
          <w:p w14:paraId="0731BA71" w14:textId="07211321" w:rsidR="00E4014C" w:rsidRDefault="00E4014C">
            <w:pPr>
              <w:rPr>
                <w:rFonts w:ascii="Calibri" w:hAnsi="Calibri" w:cs="Calibri"/>
                <w:sz w:val="12"/>
                <w:szCs w:val="12"/>
                <w:lang w:val="en-US" w:eastAsia="en-US"/>
              </w:rPr>
            </w:pPr>
            <w:r>
              <w:rPr>
                <w:rFonts w:ascii="Calibri" w:hAnsi="Calibri" w:cs="Calibri"/>
                <w:color w:val="000000"/>
                <w:sz w:val="12"/>
                <w:szCs w:val="12"/>
                <w:lang w:val="en-US" w:eastAsia="en-US"/>
              </w:rPr>
              <w:t>0</w:t>
            </w:r>
          </w:p>
        </w:tc>
        <w:tc>
          <w:tcPr>
            <w:tcW w:w="287"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hideMark/>
          </w:tcPr>
          <w:p w14:paraId="19CA3966" w14:textId="40801D57" w:rsidR="00E4014C" w:rsidRDefault="00E4014C">
            <w:pPr>
              <w:rPr>
                <w:rFonts w:ascii="Calibri" w:hAnsi="Calibri" w:cs="Calibri"/>
                <w:sz w:val="12"/>
                <w:szCs w:val="12"/>
                <w:lang w:val="en-US" w:eastAsia="en-US"/>
              </w:rPr>
            </w:pPr>
            <w:r>
              <w:rPr>
                <w:rFonts w:ascii="Calibri" w:hAnsi="Calibri" w:cs="Calibri"/>
                <w:color w:val="000000"/>
                <w:sz w:val="12"/>
                <w:szCs w:val="12"/>
                <w:lang w:val="en-US" w:eastAsia="en-US"/>
              </w:rPr>
              <w:t>0</w:t>
            </w: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7E08C84E"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31F958C4"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45CF1791"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34C7F0A4"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75678AAF"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204043E0"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5C78BC38"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1ED99400"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1C0F8DCF"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1BBFEE75"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2D2BB115"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00353D69"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1581A343"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29610B13"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0AF28F8F"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167A1AB9"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655FE067"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2A30CE46" w14:textId="77777777" w:rsidR="00E4014C" w:rsidRDefault="00E4014C">
            <w:pPr>
              <w:rPr>
                <w:rFonts w:ascii="Calibri" w:hAnsi="Calibri" w:cs="Calibri"/>
                <w:sz w:val="12"/>
                <w:szCs w:val="12"/>
                <w:lang w:val="en-US" w:eastAsia="en-US"/>
              </w:rPr>
            </w:pPr>
          </w:p>
        </w:tc>
      </w:tr>
      <w:tr w:rsidR="00C65383" w14:paraId="31D10456" w14:textId="77777777" w:rsidTr="00C65383">
        <w:tc>
          <w:tcPr>
            <w:tcW w:w="8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1D81AF" w14:textId="77777777" w:rsidR="00E4014C" w:rsidRDefault="00E4014C">
            <w:pPr>
              <w:rPr>
                <w:rFonts w:ascii="Calibri" w:hAnsi="Calibri" w:cs="Calibri"/>
                <w:sz w:val="12"/>
                <w:szCs w:val="12"/>
                <w:lang w:val="en-US" w:eastAsia="en-US"/>
              </w:rPr>
            </w:pPr>
            <w:r>
              <w:rPr>
                <w:rFonts w:ascii="Calibri" w:hAnsi="Calibri" w:cs="Calibri"/>
                <w:sz w:val="12"/>
                <w:szCs w:val="12"/>
                <w:lang w:val="en-US" w:eastAsia="en-US"/>
              </w:rPr>
              <w:t>NPUSCH Format 2</w:t>
            </w:r>
          </w:p>
        </w:tc>
        <w:tc>
          <w:tcPr>
            <w:tcW w:w="236" w:type="dxa"/>
            <w:tcBorders>
              <w:top w:val="nil"/>
              <w:left w:val="nil"/>
              <w:bottom w:val="single" w:sz="8" w:space="0" w:color="auto"/>
              <w:right w:val="single" w:sz="8" w:space="0" w:color="auto"/>
            </w:tcBorders>
            <w:tcMar>
              <w:top w:w="0" w:type="dxa"/>
              <w:left w:w="108" w:type="dxa"/>
              <w:bottom w:w="0" w:type="dxa"/>
              <w:right w:w="108" w:type="dxa"/>
            </w:tcMar>
          </w:tcPr>
          <w:p w14:paraId="2404DE0F" w14:textId="77777777" w:rsidR="00E4014C" w:rsidRDefault="00E4014C">
            <w:pPr>
              <w:rPr>
                <w:rFonts w:ascii="Calibri" w:hAnsi="Calibri" w:cs="Calibri"/>
                <w:sz w:val="12"/>
                <w:szCs w:val="12"/>
                <w:lang w:val="en-US" w:eastAsia="en-US"/>
              </w:rPr>
            </w:pPr>
          </w:p>
        </w:tc>
        <w:tc>
          <w:tcPr>
            <w:tcW w:w="245" w:type="dxa"/>
            <w:tcBorders>
              <w:top w:val="nil"/>
              <w:left w:val="nil"/>
              <w:bottom w:val="single" w:sz="8" w:space="0" w:color="auto"/>
              <w:right w:val="single" w:sz="8" w:space="0" w:color="auto"/>
            </w:tcBorders>
            <w:tcMar>
              <w:top w:w="0" w:type="dxa"/>
              <w:left w:w="108" w:type="dxa"/>
              <w:bottom w:w="0" w:type="dxa"/>
              <w:right w:w="108" w:type="dxa"/>
            </w:tcMar>
          </w:tcPr>
          <w:p w14:paraId="69C7A3DD" w14:textId="77777777" w:rsidR="00E4014C" w:rsidRDefault="00E4014C">
            <w:pPr>
              <w:rPr>
                <w:rFonts w:ascii="Calibri" w:hAnsi="Calibri" w:cs="Calibri"/>
                <w:sz w:val="12"/>
                <w:szCs w:val="12"/>
                <w:lang w:val="en-US" w:eastAsia="en-US"/>
              </w:rPr>
            </w:pPr>
          </w:p>
        </w:tc>
        <w:tc>
          <w:tcPr>
            <w:tcW w:w="245" w:type="dxa"/>
            <w:tcBorders>
              <w:top w:val="nil"/>
              <w:left w:val="nil"/>
              <w:bottom w:val="single" w:sz="8" w:space="0" w:color="auto"/>
              <w:right w:val="single" w:sz="8" w:space="0" w:color="auto"/>
            </w:tcBorders>
            <w:tcMar>
              <w:top w:w="0" w:type="dxa"/>
              <w:left w:w="108" w:type="dxa"/>
              <w:bottom w:w="0" w:type="dxa"/>
              <w:right w:w="108" w:type="dxa"/>
            </w:tcMar>
          </w:tcPr>
          <w:p w14:paraId="2AE63AE4" w14:textId="77777777" w:rsidR="00E4014C" w:rsidRDefault="00E4014C">
            <w:pPr>
              <w:rPr>
                <w:rFonts w:ascii="Calibri" w:hAnsi="Calibri" w:cs="Calibri"/>
                <w:sz w:val="12"/>
                <w:szCs w:val="12"/>
                <w:lang w:val="en-US" w:eastAsia="en-US"/>
              </w:rPr>
            </w:pPr>
          </w:p>
        </w:tc>
        <w:tc>
          <w:tcPr>
            <w:tcW w:w="245" w:type="dxa"/>
            <w:tcBorders>
              <w:top w:val="nil"/>
              <w:left w:val="nil"/>
              <w:bottom w:val="single" w:sz="8" w:space="0" w:color="auto"/>
              <w:right w:val="single" w:sz="8" w:space="0" w:color="auto"/>
            </w:tcBorders>
            <w:tcMar>
              <w:top w:w="0" w:type="dxa"/>
              <w:left w:w="108" w:type="dxa"/>
              <w:bottom w:w="0" w:type="dxa"/>
              <w:right w:w="108" w:type="dxa"/>
            </w:tcMar>
          </w:tcPr>
          <w:p w14:paraId="5D6DFBFE" w14:textId="77777777" w:rsidR="00E4014C" w:rsidRDefault="00E4014C">
            <w:pPr>
              <w:rPr>
                <w:rFonts w:ascii="Calibri" w:hAnsi="Calibri" w:cs="Calibri"/>
                <w:sz w:val="12"/>
                <w:szCs w:val="12"/>
                <w:lang w:val="en-US" w:eastAsia="en-US"/>
              </w:rPr>
            </w:pPr>
          </w:p>
        </w:tc>
        <w:tc>
          <w:tcPr>
            <w:tcW w:w="245" w:type="dxa"/>
            <w:tcBorders>
              <w:top w:val="nil"/>
              <w:left w:val="nil"/>
              <w:bottom w:val="single" w:sz="8" w:space="0" w:color="auto"/>
              <w:right w:val="single" w:sz="8" w:space="0" w:color="auto"/>
            </w:tcBorders>
            <w:tcMar>
              <w:top w:w="0" w:type="dxa"/>
              <w:left w:w="108" w:type="dxa"/>
              <w:bottom w:w="0" w:type="dxa"/>
              <w:right w:w="108" w:type="dxa"/>
            </w:tcMar>
          </w:tcPr>
          <w:p w14:paraId="5F691DD5" w14:textId="77777777" w:rsidR="00E4014C" w:rsidRDefault="00E4014C">
            <w:pPr>
              <w:rPr>
                <w:rFonts w:ascii="Calibri" w:hAnsi="Calibri" w:cs="Calibri"/>
                <w:sz w:val="12"/>
                <w:szCs w:val="12"/>
                <w:lang w:val="en-US" w:eastAsia="en-US"/>
              </w:rPr>
            </w:pPr>
          </w:p>
        </w:tc>
        <w:tc>
          <w:tcPr>
            <w:tcW w:w="301" w:type="dxa"/>
            <w:tcBorders>
              <w:top w:val="nil"/>
              <w:left w:val="nil"/>
              <w:bottom w:val="single" w:sz="8" w:space="0" w:color="auto"/>
              <w:right w:val="single" w:sz="8" w:space="0" w:color="auto"/>
            </w:tcBorders>
            <w:tcMar>
              <w:top w:w="0" w:type="dxa"/>
              <w:left w:w="108" w:type="dxa"/>
              <w:bottom w:w="0" w:type="dxa"/>
              <w:right w:w="108" w:type="dxa"/>
            </w:tcMar>
          </w:tcPr>
          <w:p w14:paraId="5EAA570F" w14:textId="77777777" w:rsidR="00E4014C" w:rsidRDefault="00E4014C">
            <w:pPr>
              <w:rPr>
                <w:rFonts w:ascii="Calibri" w:hAnsi="Calibri" w:cs="Calibri"/>
                <w:sz w:val="12"/>
                <w:szCs w:val="12"/>
                <w:lang w:val="en-US" w:eastAsia="en-US"/>
              </w:rPr>
            </w:pPr>
          </w:p>
        </w:tc>
        <w:tc>
          <w:tcPr>
            <w:tcW w:w="303" w:type="dxa"/>
            <w:tcBorders>
              <w:top w:val="nil"/>
              <w:left w:val="nil"/>
              <w:bottom w:val="single" w:sz="8" w:space="0" w:color="auto"/>
              <w:right w:val="single" w:sz="8" w:space="0" w:color="auto"/>
            </w:tcBorders>
            <w:tcMar>
              <w:top w:w="0" w:type="dxa"/>
              <w:left w:w="108" w:type="dxa"/>
              <w:bottom w:w="0" w:type="dxa"/>
              <w:right w:w="108" w:type="dxa"/>
            </w:tcMar>
          </w:tcPr>
          <w:p w14:paraId="47DABCC1" w14:textId="77777777" w:rsidR="00E4014C" w:rsidRDefault="00E4014C">
            <w:pPr>
              <w:rPr>
                <w:rFonts w:ascii="Calibri" w:hAnsi="Calibri" w:cs="Calibri"/>
                <w:sz w:val="12"/>
                <w:szCs w:val="12"/>
                <w:lang w:val="en-US" w:eastAsia="en-US"/>
              </w:rPr>
            </w:pPr>
          </w:p>
        </w:tc>
        <w:tc>
          <w:tcPr>
            <w:tcW w:w="298" w:type="dxa"/>
            <w:tcBorders>
              <w:top w:val="nil"/>
              <w:left w:val="nil"/>
              <w:bottom w:val="single" w:sz="8" w:space="0" w:color="auto"/>
              <w:right w:val="single" w:sz="8" w:space="0" w:color="auto"/>
            </w:tcBorders>
            <w:tcMar>
              <w:top w:w="0" w:type="dxa"/>
              <w:left w:w="108" w:type="dxa"/>
              <w:bottom w:w="0" w:type="dxa"/>
              <w:right w:w="108" w:type="dxa"/>
            </w:tcMar>
          </w:tcPr>
          <w:p w14:paraId="2D881DF1" w14:textId="77777777" w:rsidR="00E4014C" w:rsidRDefault="00E4014C">
            <w:pPr>
              <w:rPr>
                <w:rFonts w:ascii="Calibri" w:hAnsi="Calibri" w:cs="Calibri"/>
                <w:sz w:val="12"/>
                <w:szCs w:val="12"/>
                <w:lang w:val="en-US" w:eastAsia="en-US"/>
              </w:rPr>
            </w:pPr>
          </w:p>
        </w:tc>
        <w:tc>
          <w:tcPr>
            <w:tcW w:w="303" w:type="dxa"/>
            <w:tcBorders>
              <w:top w:val="nil"/>
              <w:left w:val="nil"/>
              <w:bottom w:val="single" w:sz="8" w:space="0" w:color="auto"/>
              <w:right w:val="single" w:sz="8" w:space="0" w:color="auto"/>
            </w:tcBorders>
            <w:tcMar>
              <w:top w:w="0" w:type="dxa"/>
              <w:left w:w="108" w:type="dxa"/>
              <w:bottom w:w="0" w:type="dxa"/>
              <w:right w:w="108" w:type="dxa"/>
            </w:tcMar>
          </w:tcPr>
          <w:p w14:paraId="59F17A9E" w14:textId="77777777" w:rsidR="00E4014C" w:rsidRDefault="00E4014C">
            <w:pPr>
              <w:rPr>
                <w:rFonts w:ascii="Calibri" w:hAnsi="Calibri" w:cs="Calibri"/>
                <w:sz w:val="12"/>
                <w:szCs w:val="12"/>
                <w:lang w:val="en-US" w:eastAsia="en-US"/>
              </w:rPr>
            </w:pPr>
          </w:p>
        </w:tc>
        <w:tc>
          <w:tcPr>
            <w:tcW w:w="302" w:type="dxa"/>
            <w:tcBorders>
              <w:top w:val="nil"/>
              <w:left w:val="nil"/>
              <w:bottom w:val="single" w:sz="8" w:space="0" w:color="auto"/>
              <w:right w:val="single" w:sz="8" w:space="0" w:color="auto"/>
            </w:tcBorders>
            <w:tcMar>
              <w:top w:w="0" w:type="dxa"/>
              <w:left w:w="108" w:type="dxa"/>
              <w:bottom w:w="0" w:type="dxa"/>
              <w:right w:w="108" w:type="dxa"/>
            </w:tcMar>
          </w:tcPr>
          <w:p w14:paraId="1FF9F7F6" w14:textId="77777777" w:rsidR="00E4014C" w:rsidRDefault="00E4014C">
            <w:pPr>
              <w:rPr>
                <w:rFonts w:ascii="Calibri" w:hAnsi="Calibri" w:cs="Calibri"/>
                <w:sz w:val="12"/>
                <w:szCs w:val="12"/>
                <w:lang w:val="en-US" w:eastAsia="en-US"/>
              </w:rPr>
            </w:pPr>
          </w:p>
        </w:tc>
        <w:tc>
          <w:tcPr>
            <w:tcW w:w="291" w:type="dxa"/>
            <w:tcBorders>
              <w:top w:val="nil"/>
              <w:left w:val="nil"/>
              <w:bottom w:val="single" w:sz="8" w:space="0" w:color="auto"/>
              <w:right w:val="single" w:sz="8" w:space="0" w:color="auto"/>
            </w:tcBorders>
            <w:tcMar>
              <w:top w:w="0" w:type="dxa"/>
              <w:left w:w="108" w:type="dxa"/>
              <w:bottom w:w="0" w:type="dxa"/>
              <w:right w:w="108" w:type="dxa"/>
            </w:tcMar>
          </w:tcPr>
          <w:p w14:paraId="53AA55CF" w14:textId="77777777" w:rsidR="00E4014C" w:rsidRDefault="00E4014C">
            <w:pPr>
              <w:rPr>
                <w:rFonts w:ascii="Calibri" w:hAnsi="Calibri" w:cs="Calibri"/>
                <w:sz w:val="12"/>
                <w:szCs w:val="12"/>
                <w:lang w:val="en-US" w:eastAsia="en-US"/>
              </w:rPr>
            </w:pPr>
          </w:p>
        </w:tc>
        <w:tc>
          <w:tcPr>
            <w:tcW w:w="300" w:type="dxa"/>
            <w:tcBorders>
              <w:top w:val="nil"/>
              <w:left w:val="nil"/>
              <w:bottom w:val="single" w:sz="8" w:space="0" w:color="auto"/>
              <w:right w:val="single" w:sz="8" w:space="0" w:color="auto"/>
            </w:tcBorders>
            <w:tcMar>
              <w:top w:w="0" w:type="dxa"/>
              <w:left w:w="108" w:type="dxa"/>
              <w:bottom w:w="0" w:type="dxa"/>
              <w:right w:w="108" w:type="dxa"/>
            </w:tcMar>
          </w:tcPr>
          <w:p w14:paraId="48AABDF1" w14:textId="77777777" w:rsidR="00E4014C" w:rsidRDefault="00E4014C">
            <w:pPr>
              <w:rPr>
                <w:rFonts w:ascii="Calibri" w:hAnsi="Calibri" w:cs="Calibri"/>
                <w:sz w:val="12"/>
                <w:szCs w:val="12"/>
                <w:lang w:val="en-US" w:eastAsia="en-US"/>
              </w:rPr>
            </w:pPr>
          </w:p>
        </w:tc>
        <w:tc>
          <w:tcPr>
            <w:tcW w:w="303" w:type="dxa"/>
            <w:tcBorders>
              <w:top w:val="nil"/>
              <w:left w:val="nil"/>
              <w:bottom w:val="single" w:sz="8" w:space="0" w:color="auto"/>
              <w:right w:val="single" w:sz="8" w:space="0" w:color="auto"/>
            </w:tcBorders>
            <w:tcMar>
              <w:top w:w="0" w:type="dxa"/>
              <w:left w:w="108" w:type="dxa"/>
              <w:bottom w:w="0" w:type="dxa"/>
              <w:right w:w="108" w:type="dxa"/>
            </w:tcMar>
          </w:tcPr>
          <w:p w14:paraId="594594ED" w14:textId="77777777" w:rsidR="00E4014C" w:rsidRDefault="00E4014C">
            <w:pPr>
              <w:rPr>
                <w:rFonts w:ascii="Calibri" w:hAnsi="Calibri" w:cs="Calibri"/>
                <w:sz w:val="12"/>
                <w:szCs w:val="12"/>
                <w:lang w:val="en-US" w:eastAsia="en-US"/>
              </w:rPr>
            </w:pPr>
          </w:p>
        </w:tc>
        <w:tc>
          <w:tcPr>
            <w:tcW w:w="287" w:type="dxa"/>
            <w:tcBorders>
              <w:top w:val="nil"/>
              <w:left w:val="nil"/>
              <w:bottom w:val="single" w:sz="8" w:space="0" w:color="auto"/>
              <w:right w:val="single" w:sz="8" w:space="0" w:color="auto"/>
            </w:tcBorders>
            <w:tcMar>
              <w:top w:w="0" w:type="dxa"/>
              <w:left w:w="108" w:type="dxa"/>
              <w:bottom w:w="0" w:type="dxa"/>
              <w:right w:w="108" w:type="dxa"/>
            </w:tcMar>
          </w:tcPr>
          <w:p w14:paraId="5D6F21C9" w14:textId="77777777" w:rsidR="00E4014C" w:rsidRDefault="00E4014C">
            <w:pPr>
              <w:rPr>
                <w:rFonts w:ascii="Calibri" w:hAnsi="Calibri" w:cs="Calibri"/>
                <w:sz w:val="12"/>
                <w:szCs w:val="12"/>
                <w:lang w:val="en-US" w:eastAsia="en-US"/>
              </w:rPr>
            </w:pPr>
          </w:p>
        </w:tc>
        <w:tc>
          <w:tcPr>
            <w:tcW w:w="287" w:type="dxa"/>
            <w:tcBorders>
              <w:top w:val="nil"/>
              <w:left w:val="nil"/>
              <w:bottom w:val="single" w:sz="8" w:space="0" w:color="auto"/>
              <w:right w:val="single" w:sz="8" w:space="0" w:color="auto"/>
            </w:tcBorders>
            <w:tcMar>
              <w:top w:w="0" w:type="dxa"/>
              <w:left w:w="108" w:type="dxa"/>
              <w:bottom w:w="0" w:type="dxa"/>
              <w:right w:w="108" w:type="dxa"/>
            </w:tcMar>
          </w:tcPr>
          <w:p w14:paraId="0B70061F"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63A78E87"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2E13C4E2"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4774E4E6"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6A7E1A61"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02C6D861"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2167AC40"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2147D0C5"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5B20E4EA"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17FACC90"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0B8664D7"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3DD74C3F"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0794D2F3" w14:textId="77777777" w:rsidR="00E4014C" w:rsidRDefault="00E4014C">
            <w:pPr>
              <w:rPr>
                <w:rFonts w:ascii="Calibri" w:hAnsi="Calibri" w:cs="Calibri"/>
                <w:sz w:val="12"/>
                <w:szCs w:val="12"/>
                <w:lang w:val="en-US" w:eastAsia="en-US"/>
              </w:rPr>
            </w:pPr>
          </w:p>
        </w:tc>
        <w:tc>
          <w:tcPr>
            <w:tcW w:w="274"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14:paraId="736D6162" w14:textId="77777777" w:rsidR="00E4014C" w:rsidRDefault="00E4014C">
            <w:pPr>
              <w:rPr>
                <w:rFonts w:ascii="Calibri" w:hAnsi="Calibri" w:cs="Calibri"/>
                <w:sz w:val="12"/>
                <w:szCs w:val="12"/>
                <w:lang w:val="en-US" w:eastAsia="en-US"/>
              </w:rPr>
            </w:pPr>
            <w:r>
              <w:rPr>
                <w:rFonts w:ascii="Calibri" w:hAnsi="Calibri" w:cs="Calibri"/>
                <w:color w:val="000000"/>
                <w:sz w:val="12"/>
                <w:szCs w:val="12"/>
                <w:lang w:val="en-US" w:eastAsia="en-US"/>
              </w:rPr>
              <w:t>0</w:t>
            </w:r>
          </w:p>
        </w:tc>
        <w:tc>
          <w:tcPr>
            <w:tcW w:w="274"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14:paraId="463DD3C7" w14:textId="77777777" w:rsidR="00E4014C" w:rsidRDefault="00E4014C">
            <w:pPr>
              <w:rPr>
                <w:rFonts w:ascii="Calibri" w:hAnsi="Calibri" w:cs="Calibri"/>
                <w:sz w:val="12"/>
                <w:szCs w:val="12"/>
                <w:lang w:val="en-US" w:eastAsia="en-US"/>
              </w:rPr>
            </w:pPr>
            <w:r>
              <w:rPr>
                <w:rFonts w:ascii="Calibri" w:hAnsi="Calibri" w:cs="Calibri"/>
                <w:color w:val="000000"/>
                <w:sz w:val="12"/>
                <w:szCs w:val="12"/>
                <w:lang w:val="en-US" w:eastAsia="en-US"/>
              </w:rPr>
              <w:t>0</w:t>
            </w: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4CF257C7"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081E4902"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0CE391CB"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115CD7D7" w14:textId="77777777" w:rsidR="00E4014C" w:rsidRDefault="00E4014C">
            <w:pPr>
              <w:rPr>
                <w:rFonts w:ascii="Calibri" w:hAnsi="Calibri" w:cs="Calibri"/>
                <w:sz w:val="12"/>
                <w:szCs w:val="12"/>
                <w:lang w:val="en-US" w:eastAsia="en-US"/>
              </w:rPr>
            </w:pPr>
          </w:p>
        </w:tc>
      </w:tr>
      <w:tr w:rsidR="00C65383" w14:paraId="6D94CAF3" w14:textId="77777777" w:rsidTr="003C4D25">
        <w:tc>
          <w:tcPr>
            <w:tcW w:w="8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98BE35" w14:textId="3695F67F" w:rsidR="00C65383" w:rsidRDefault="00C65383">
            <w:pPr>
              <w:rPr>
                <w:rFonts w:ascii="Calibri" w:hAnsi="Calibri" w:cs="Calibri"/>
                <w:sz w:val="12"/>
                <w:szCs w:val="12"/>
                <w:lang w:val="en-US" w:eastAsia="en-US"/>
              </w:rPr>
            </w:pPr>
            <w:r>
              <w:rPr>
                <w:rFonts w:ascii="Calibri" w:hAnsi="Calibri" w:cs="Calibri"/>
                <w:sz w:val="12"/>
                <w:szCs w:val="12"/>
                <w:lang w:val="en-US" w:eastAsia="en-US"/>
              </w:rPr>
              <w:t>N</w:t>
            </w:r>
            <w:r w:rsidRPr="00C65383">
              <w:rPr>
                <w:rFonts w:ascii="Calibri" w:hAnsi="Calibri" w:cs="Calibri"/>
                <w:sz w:val="12"/>
                <w:szCs w:val="12"/>
                <w:lang w:val="en-US" w:eastAsia="en-US"/>
              </w:rPr>
              <w:t xml:space="preserve">DPCCH to </w:t>
            </w:r>
            <w:r>
              <w:rPr>
                <w:rFonts w:ascii="Calibri" w:hAnsi="Calibri" w:cs="Calibri"/>
                <w:sz w:val="12"/>
                <w:szCs w:val="12"/>
                <w:lang w:val="en-US" w:eastAsia="en-US"/>
              </w:rPr>
              <w:t>N</w:t>
            </w:r>
            <w:r w:rsidRPr="00C65383">
              <w:rPr>
                <w:rFonts w:ascii="Calibri" w:hAnsi="Calibri" w:cs="Calibri"/>
                <w:sz w:val="12"/>
                <w:szCs w:val="12"/>
                <w:lang w:val="en-US" w:eastAsia="en-US"/>
              </w:rPr>
              <w:t>PDSCH delay</w:t>
            </w:r>
          </w:p>
        </w:tc>
        <w:tc>
          <w:tcPr>
            <w:tcW w:w="236" w:type="dxa"/>
            <w:tcBorders>
              <w:top w:val="nil"/>
              <w:left w:val="nil"/>
              <w:bottom w:val="single" w:sz="8" w:space="0" w:color="auto"/>
              <w:right w:val="single" w:sz="8" w:space="0" w:color="auto"/>
            </w:tcBorders>
            <w:tcMar>
              <w:top w:w="0" w:type="dxa"/>
              <w:left w:w="108" w:type="dxa"/>
              <w:bottom w:w="0" w:type="dxa"/>
              <w:right w:w="108" w:type="dxa"/>
            </w:tcMar>
          </w:tcPr>
          <w:p w14:paraId="17C5ED45" w14:textId="77777777" w:rsidR="00C65383" w:rsidRDefault="00C65383">
            <w:pPr>
              <w:rPr>
                <w:rFonts w:ascii="Calibri" w:hAnsi="Calibri" w:cs="Calibri"/>
                <w:sz w:val="12"/>
                <w:szCs w:val="12"/>
                <w:lang w:val="en-US" w:eastAsia="en-US"/>
              </w:rPr>
            </w:pPr>
          </w:p>
        </w:tc>
        <w:tc>
          <w:tcPr>
            <w:tcW w:w="980" w:type="dxa"/>
            <w:gridSpan w:val="4"/>
            <w:tcBorders>
              <w:top w:val="nil"/>
              <w:left w:val="nil"/>
              <w:bottom w:val="single" w:sz="8" w:space="0" w:color="auto"/>
              <w:right w:val="single" w:sz="8" w:space="0" w:color="auto"/>
            </w:tcBorders>
            <w:tcMar>
              <w:top w:w="0" w:type="dxa"/>
              <w:left w:w="108" w:type="dxa"/>
              <w:bottom w:w="0" w:type="dxa"/>
              <w:right w:w="108" w:type="dxa"/>
            </w:tcMar>
          </w:tcPr>
          <w:p w14:paraId="4E7D4E50" w14:textId="5D6F4126" w:rsidR="00C65383" w:rsidRDefault="00C65383" w:rsidP="00C65383">
            <w:pPr>
              <w:jc w:val="center"/>
              <w:rPr>
                <w:rFonts w:ascii="Calibri" w:hAnsi="Calibri" w:cs="Calibri"/>
                <w:sz w:val="12"/>
                <w:szCs w:val="12"/>
                <w:lang w:val="en-US" w:eastAsia="en-US"/>
              </w:rPr>
            </w:pPr>
            <w:r>
              <w:rPr>
                <w:rFonts w:ascii="Calibri" w:hAnsi="Calibri" w:cs="Calibri"/>
                <w:sz w:val="12"/>
                <w:szCs w:val="12"/>
                <w:lang w:val="en-US" w:eastAsia="en-US"/>
              </w:rPr>
              <w:t>4ms</w:t>
            </w:r>
          </w:p>
        </w:tc>
        <w:tc>
          <w:tcPr>
            <w:tcW w:w="301" w:type="dxa"/>
            <w:tcBorders>
              <w:top w:val="nil"/>
              <w:left w:val="nil"/>
              <w:bottom w:val="single" w:sz="8" w:space="0" w:color="auto"/>
              <w:right w:val="single" w:sz="8" w:space="0" w:color="auto"/>
            </w:tcBorders>
            <w:tcMar>
              <w:top w:w="0" w:type="dxa"/>
              <w:left w:w="108" w:type="dxa"/>
              <w:bottom w:w="0" w:type="dxa"/>
              <w:right w:w="108" w:type="dxa"/>
            </w:tcMar>
          </w:tcPr>
          <w:p w14:paraId="38322449" w14:textId="77777777" w:rsidR="00C65383" w:rsidRDefault="00C65383">
            <w:pPr>
              <w:rPr>
                <w:rFonts w:ascii="Calibri" w:hAnsi="Calibri" w:cs="Calibri"/>
                <w:sz w:val="12"/>
                <w:szCs w:val="12"/>
                <w:lang w:val="en-US" w:eastAsia="en-US"/>
              </w:rPr>
            </w:pPr>
          </w:p>
        </w:tc>
        <w:tc>
          <w:tcPr>
            <w:tcW w:w="303" w:type="dxa"/>
            <w:tcBorders>
              <w:top w:val="nil"/>
              <w:left w:val="nil"/>
              <w:bottom w:val="single" w:sz="8" w:space="0" w:color="auto"/>
              <w:right w:val="single" w:sz="8" w:space="0" w:color="auto"/>
            </w:tcBorders>
            <w:tcMar>
              <w:top w:w="0" w:type="dxa"/>
              <w:left w:w="108" w:type="dxa"/>
              <w:bottom w:w="0" w:type="dxa"/>
              <w:right w:w="108" w:type="dxa"/>
            </w:tcMar>
          </w:tcPr>
          <w:p w14:paraId="76A6DA76" w14:textId="77777777" w:rsidR="00C65383" w:rsidRDefault="00C65383">
            <w:pPr>
              <w:rPr>
                <w:rFonts w:ascii="Calibri" w:hAnsi="Calibri" w:cs="Calibri"/>
                <w:sz w:val="12"/>
                <w:szCs w:val="12"/>
                <w:lang w:val="en-US" w:eastAsia="en-US"/>
              </w:rPr>
            </w:pPr>
          </w:p>
        </w:tc>
        <w:tc>
          <w:tcPr>
            <w:tcW w:w="298" w:type="dxa"/>
            <w:tcBorders>
              <w:top w:val="nil"/>
              <w:left w:val="nil"/>
              <w:bottom w:val="single" w:sz="8" w:space="0" w:color="auto"/>
              <w:right w:val="single" w:sz="8" w:space="0" w:color="auto"/>
            </w:tcBorders>
            <w:tcMar>
              <w:top w:w="0" w:type="dxa"/>
              <w:left w:w="108" w:type="dxa"/>
              <w:bottom w:w="0" w:type="dxa"/>
              <w:right w:w="108" w:type="dxa"/>
            </w:tcMar>
          </w:tcPr>
          <w:p w14:paraId="7A17C7D1" w14:textId="77777777" w:rsidR="00C65383" w:rsidRDefault="00C65383">
            <w:pPr>
              <w:rPr>
                <w:rFonts w:ascii="Calibri" w:hAnsi="Calibri" w:cs="Calibri"/>
                <w:sz w:val="12"/>
                <w:szCs w:val="12"/>
                <w:lang w:val="en-US" w:eastAsia="en-US"/>
              </w:rPr>
            </w:pPr>
          </w:p>
        </w:tc>
        <w:tc>
          <w:tcPr>
            <w:tcW w:w="303" w:type="dxa"/>
            <w:tcBorders>
              <w:top w:val="nil"/>
              <w:left w:val="nil"/>
              <w:bottom w:val="single" w:sz="8" w:space="0" w:color="auto"/>
              <w:right w:val="single" w:sz="8" w:space="0" w:color="auto"/>
            </w:tcBorders>
            <w:tcMar>
              <w:top w:w="0" w:type="dxa"/>
              <w:left w:w="108" w:type="dxa"/>
              <w:bottom w:w="0" w:type="dxa"/>
              <w:right w:w="108" w:type="dxa"/>
            </w:tcMar>
          </w:tcPr>
          <w:p w14:paraId="7D598CF1" w14:textId="77777777" w:rsidR="00C65383" w:rsidRDefault="00C65383">
            <w:pPr>
              <w:rPr>
                <w:rFonts w:ascii="Calibri" w:hAnsi="Calibri" w:cs="Calibri"/>
                <w:sz w:val="12"/>
                <w:szCs w:val="12"/>
                <w:lang w:val="en-US" w:eastAsia="en-US"/>
              </w:rPr>
            </w:pPr>
          </w:p>
        </w:tc>
        <w:tc>
          <w:tcPr>
            <w:tcW w:w="302" w:type="dxa"/>
            <w:tcBorders>
              <w:top w:val="nil"/>
              <w:left w:val="nil"/>
              <w:bottom w:val="single" w:sz="8" w:space="0" w:color="auto"/>
              <w:right w:val="single" w:sz="8" w:space="0" w:color="auto"/>
            </w:tcBorders>
            <w:tcMar>
              <w:top w:w="0" w:type="dxa"/>
              <w:left w:w="108" w:type="dxa"/>
              <w:bottom w:w="0" w:type="dxa"/>
              <w:right w:w="108" w:type="dxa"/>
            </w:tcMar>
          </w:tcPr>
          <w:p w14:paraId="6F80E8AB" w14:textId="77777777" w:rsidR="00C65383" w:rsidRDefault="00C65383">
            <w:pPr>
              <w:rPr>
                <w:rFonts w:ascii="Calibri" w:hAnsi="Calibri" w:cs="Calibri"/>
                <w:sz w:val="12"/>
                <w:szCs w:val="12"/>
                <w:lang w:val="en-US" w:eastAsia="en-US"/>
              </w:rPr>
            </w:pPr>
          </w:p>
        </w:tc>
        <w:tc>
          <w:tcPr>
            <w:tcW w:w="291" w:type="dxa"/>
            <w:tcBorders>
              <w:top w:val="nil"/>
              <w:left w:val="nil"/>
              <w:bottom w:val="single" w:sz="8" w:space="0" w:color="auto"/>
              <w:right w:val="single" w:sz="8" w:space="0" w:color="auto"/>
            </w:tcBorders>
            <w:tcMar>
              <w:top w:w="0" w:type="dxa"/>
              <w:left w:w="108" w:type="dxa"/>
              <w:bottom w:w="0" w:type="dxa"/>
              <w:right w:w="108" w:type="dxa"/>
            </w:tcMar>
          </w:tcPr>
          <w:p w14:paraId="3F6AD059" w14:textId="77777777" w:rsidR="00C65383" w:rsidRDefault="00C65383">
            <w:pPr>
              <w:rPr>
                <w:rFonts w:ascii="Calibri" w:hAnsi="Calibri" w:cs="Calibri"/>
                <w:sz w:val="12"/>
                <w:szCs w:val="12"/>
                <w:lang w:val="en-US" w:eastAsia="en-US"/>
              </w:rPr>
            </w:pPr>
          </w:p>
        </w:tc>
        <w:tc>
          <w:tcPr>
            <w:tcW w:w="300" w:type="dxa"/>
            <w:tcBorders>
              <w:top w:val="nil"/>
              <w:left w:val="nil"/>
              <w:bottom w:val="single" w:sz="8" w:space="0" w:color="auto"/>
              <w:right w:val="single" w:sz="8" w:space="0" w:color="auto"/>
            </w:tcBorders>
            <w:tcMar>
              <w:top w:w="0" w:type="dxa"/>
              <w:left w:w="108" w:type="dxa"/>
              <w:bottom w:w="0" w:type="dxa"/>
              <w:right w:w="108" w:type="dxa"/>
            </w:tcMar>
          </w:tcPr>
          <w:p w14:paraId="7FC7B348" w14:textId="77777777" w:rsidR="00C65383" w:rsidRDefault="00C65383">
            <w:pPr>
              <w:rPr>
                <w:rFonts w:ascii="Calibri" w:hAnsi="Calibri" w:cs="Calibri"/>
                <w:sz w:val="12"/>
                <w:szCs w:val="12"/>
                <w:lang w:val="en-US" w:eastAsia="en-US"/>
              </w:rPr>
            </w:pPr>
          </w:p>
        </w:tc>
        <w:tc>
          <w:tcPr>
            <w:tcW w:w="303" w:type="dxa"/>
            <w:tcBorders>
              <w:top w:val="nil"/>
              <w:left w:val="nil"/>
              <w:bottom w:val="single" w:sz="8" w:space="0" w:color="auto"/>
              <w:right w:val="single" w:sz="8" w:space="0" w:color="auto"/>
            </w:tcBorders>
            <w:tcMar>
              <w:top w:w="0" w:type="dxa"/>
              <w:left w:w="108" w:type="dxa"/>
              <w:bottom w:w="0" w:type="dxa"/>
              <w:right w:w="108" w:type="dxa"/>
            </w:tcMar>
          </w:tcPr>
          <w:p w14:paraId="2B35BFE7" w14:textId="77777777" w:rsidR="00C65383" w:rsidRDefault="00C65383">
            <w:pPr>
              <w:rPr>
                <w:rFonts w:ascii="Calibri" w:hAnsi="Calibri" w:cs="Calibri"/>
                <w:sz w:val="12"/>
                <w:szCs w:val="12"/>
                <w:lang w:val="en-US" w:eastAsia="en-US"/>
              </w:rPr>
            </w:pPr>
          </w:p>
        </w:tc>
        <w:tc>
          <w:tcPr>
            <w:tcW w:w="287" w:type="dxa"/>
            <w:tcBorders>
              <w:top w:val="nil"/>
              <w:left w:val="nil"/>
              <w:bottom w:val="single" w:sz="8" w:space="0" w:color="auto"/>
              <w:right w:val="single" w:sz="8" w:space="0" w:color="auto"/>
            </w:tcBorders>
            <w:tcMar>
              <w:top w:w="0" w:type="dxa"/>
              <w:left w:w="108" w:type="dxa"/>
              <w:bottom w:w="0" w:type="dxa"/>
              <w:right w:w="108" w:type="dxa"/>
            </w:tcMar>
          </w:tcPr>
          <w:p w14:paraId="480FC660" w14:textId="77777777" w:rsidR="00C65383" w:rsidRDefault="00C65383">
            <w:pPr>
              <w:rPr>
                <w:rFonts w:ascii="Calibri" w:hAnsi="Calibri" w:cs="Calibri"/>
                <w:sz w:val="12"/>
                <w:szCs w:val="12"/>
                <w:lang w:val="en-US" w:eastAsia="en-US"/>
              </w:rPr>
            </w:pPr>
          </w:p>
        </w:tc>
        <w:tc>
          <w:tcPr>
            <w:tcW w:w="287" w:type="dxa"/>
            <w:tcBorders>
              <w:top w:val="nil"/>
              <w:left w:val="nil"/>
              <w:bottom w:val="single" w:sz="8" w:space="0" w:color="auto"/>
              <w:right w:val="single" w:sz="8" w:space="0" w:color="auto"/>
            </w:tcBorders>
            <w:tcMar>
              <w:top w:w="0" w:type="dxa"/>
              <w:left w:w="108" w:type="dxa"/>
              <w:bottom w:w="0" w:type="dxa"/>
              <w:right w:w="108" w:type="dxa"/>
            </w:tcMar>
          </w:tcPr>
          <w:p w14:paraId="203A3954" w14:textId="77777777" w:rsidR="00C65383" w:rsidRDefault="00C65383">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74B606EE" w14:textId="77777777" w:rsidR="00C65383" w:rsidRDefault="00C65383">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0634DA3E" w14:textId="77777777" w:rsidR="00C65383" w:rsidRDefault="00C65383">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34A520B7" w14:textId="77777777" w:rsidR="00C65383" w:rsidRDefault="00C65383">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3DE4DC0E" w14:textId="77777777" w:rsidR="00C65383" w:rsidRDefault="00C65383">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0FDADB2F" w14:textId="77777777" w:rsidR="00C65383" w:rsidRDefault="00C65383">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5A17423C" w14:textId="77777777" w:rsidR="00C65383" w:rsidRDefault="00C65383">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4954DF6C" w14:textId="77777777" w:rsidR="00C65383" w:rsidRDefault="00C65383">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580C1417" w14:textId="77777777" w:rsidR="00C65383" w:rsidRDefault="00C65383">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626B98BC" w14:textId="77777777" w:rsidR="00C65383" w:rsidRDefault="00C65383">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54CF5118" w14:textId="77777777" w:rsidR="00C65383" w:rsidRDefault="00C65383">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3066D5AB" w14:textId="77777777" w:rsidR="00C65383" w:rsidRDefault="00C65383">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741FD3B0" w14:textId="77777777" w:rsidR="00C65383" w:rsidRDefault="00C65383">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4090D96" w14:textId="77777777" w:rsidR="00C65383" w:rsidRDefault="00C65383">
            <w:pPr>
              <w:rPr>
                <w:rFonts w:ascii="Calibri" w:hAnsi="Calibri" w:cs="Calibri"/>
                <w:color w:val="000000"/>
                <w:sz w:val="12"/>
                <w:szCs w:val="12"/>
                <w:lang w:val="en-US" w:eastAsia="en-US"/>
              </w:rPr>
            </w:pPr>
          </w:p>
        </w:tc>
        <w:tc>
          <w:tcPr>
            <w:tcW w:w="27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A5AF6B3" w14:textId="77777777" w:rsidR="00C65383" w:rsidRDefault="00C65383">
            <w:pPr>
              <w:rPr>
                <w:rFonts w:ascii="Calibri" w:hAnsi="Calibri" w:cs="Calibri"/>
                <w:color w:val="000000"/>
                <w:sz w:val="12"/>
                <w:szCs w:val="12"/>
                <w:lang w:val="en-US" w:eastAsia="en-US"/>
              </w:rPr>
            </w:pPr>
          </w:p>
        </w:tc>
        <w:tc>
          <w:tcPr>
            <w:tcW w:w="27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EB72E9C" w14:textId="77777777" w:rsidR="00C65383" w:rsidRDefault="00C65383">
            <w:pPr>
              <w:rPr>
                <w:rFonts w:ascii="Calibri" w:hAnsi="Calibri" w:cs="Calibri"/>
                <w:sz w:val="12"/>
                <w:szCs w:val="12"/>
                <w:lang w:val="en-US" w:eastAsia="en-US"/>
              </w:rPr>
            </w:pPr>
          </w:p>
        </w:tc>
        <w:tc>
          <w:tcPr>
            <w:tcW w:w="27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483DAA3" w14:textId="77777777" w:rsidR="00C65383" w:rsidRDefault="00C65383">
            <w:pPr>
              <w:rPr>
                <w:rFonts w:ascii="Calibri" w:hAnsi="Calibri" w:cs="Calibri"/>
                <w:sz w:val="12"/>
                <w:szCs w:val="12"/>
                <w:lang w:val="en-US" w:eastAsia="en-US"/>
              </w:rPr>
            </w:pPr>
          </w:p>
        </w:tc>
        <w:tc>
          <w:tcPr>
            <w:tcW w:w="27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1674907" w14:textId="77777777" w:rsidR="00C65383" w:rsidRDefault="00C65383">
            <w:pPr>
              <w:rPr>
                <w:rFonts w:ascii="Calibri" w:hAnsi="Calibri" w:cs="Calibri"/>
                <w:sz w:val="12"/>
                <w:szCs w:val="12"/>
                <w:lang w:val="en-US" w:eastAsia="en-US"/>
              </w:rPr>
            </w:pPr>
          </w:p>
        </w:tc>
        <w:tc>
          <w:tcPr>
            <w:tcW w:w="27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26952A9" w14:textId="77777777" w:rsidR="00C65383" w:rsidRDefault="00C65383">
            <w:pPr>
              <w:rPr>
                <w:rFonts w:ascii="Calibri" w:hAnsi="Calibri" w:cs="Calibri"/>
                <w:sz w:val="12"/>
                <w:szCs w:val="12"/>
                <w:lang w:val="en-US" w:eastAsia="en-US"/>
              </w:rPr>
            </w:pPr>
          </w:p>
        </w:tc>
      </w:tr>
      <w:tr w:rsidR="00C65383" w14:paraId="551F9C66" w14:textId="77777777" w:rsidTr="00CB4245">
        <w:tc>
          <w:tcPr>
            <w:tcW w:w="8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570DF3" w14:textId="7F71956B" w:rsidR="00C65383" w:rsidRDefault="00C65383">
            <w:pPr>
              <w:rPr>
                <w:rFonts w:ascii="Calibri" w:hAnsi="Calibri" w:cs="Calibri"/>
                <w:sz w:val="12"/>
                <w:szCs w:val="12"/>
                <w:lang w:val="en-US" w:eastAsia="en-US"/>
              </w:rPr>
            </w:pPr>
            <w:r>
              <w:rPr>
                <w:rFonts w:ascii="Calibri" w:hAnsi="Calibri" w:cs="Calibri"/>
                <w:sz w:val="12"/>
                <w:szCs w:val="12"/>
                <w:lang w:val="en-US" w:eastAsia="en-US"/>
              </w:rPr>
              <w:t>N</w:t>
            </w:r>
            <w:r w:rsidRPr="00C65383">
              <w:rPr>
                <w:rFonts w:ascii="Calibri" w:hAnsi="Calibri" w:cs="Calibri"/>
                <w:sz w:val="12"/>
                <w:szCs w:val="12"/>
                <w:lang w:val="en-US" w:eastAsia="en-US"/>
              </w:rPr>
              <w:t xml:space="preserve">PDSCH to </w:t>
            </w:r>
            <w:r>
              <w:rPr>
                <w:rFonts w:ascii="Calibri" w:hAnsi="Calibri" w:cs="Calibri"/>
                <w:sz w:val="12"/>
                <w:szCs w:val="12"/>
                <w:lang w:val="en-US" w:eastAsia="en-US"/>
              </w:rPr>
              <w:t>NPUSCH Format 2</w:t>
            </w:r>
            <w:r w:rsidRPr="00C65383">
              <w:rPr>
                <w:rFonts w:ascii="Calibri" w:hAnsi="Calibri" w:cs="Calibri"/>
                <w:sz w:val="12"/>
                <w:szCs w:val="12"/>
                <w:lang w:val="en-US" w:eastAsia="en-US"/>
              </w:rPr>
              <w:t xml:space="preserve"> delay</w:t>
            </w:r>
          </w:p>
        </w:tc>
        <w:tc>
          <w:tcPr>
            <w:tcW w:w="236" w:type="dxa"/>
            <w:tcBorders>
              <w:top w:val="nil"/>
              <w:left w:val="nil"/>
              <w:bottom w:val="single" w:sz="8" w:space="0" w:color="auto"/>
              <w:right w:val="single" w:sz="8" w:space="0" w:color="auto"/>
            </w:tcBorders>
            <w:tcMar>
              <w:top w:w="0" w:type="dxa"/>
              <w:left w:w="108" w:type="dxa"/>
              <w:bottom w:w="0" w:type="dxa"/>
              <w:right w:w="108" w:type="dxa"/>
            </w:tcMar>
          </w:tcPr>
          <w:p w14:paraId="67BF0522" w14:textId="77777777" w:rsidR="00C65383" w:rsidRDefault="00C65383">
            <w:pPr>
              <w:rPr>
                <w:rFonts w:ascii="Calibri" w:hAnsi="Calibri" w:cs="Calibri"/>
                <w:sz w:val="12"/>
                <w:szCs w:val="12"/>
                <w:lang w:val="en-US" w:eastAsia="en-US"/>
              </w:rPr>
            </w:pPr>
          </w:p>
        </w:tc>
        <w:tc>
          <w:tcPr>
            <w:tcW w:w="245" w:type="dxa"/>
            <w:tcBorders>
              <w:top w:val="nil"/>
              <w:left w:val="nil"/>
              <w:bottom w:val="single" w:sz="8" w:space="0" w:color="auto"/>
              <w:right w:val="single" w:sz="8" w:space="0" w:color="auto"/>
            </w:tcBorders>
            <w:tcMar>
              <w:top w:w="0" w:type="dxa"/>
              <w:left w:w="108" w:type="dxa"/>
              <w:bottom w:w="0" w:type="dxa"/>
              <w:right w:w="108" w:type="dxa"/>
            </w:tcMar>
          </w:tcPr>
          <w:p w14:paraId="2634CBBC" w14:textId="77777777" w:rsidR="00C65383" w:rsidRDefault="00C65383">
            <w:pPr>
              <w:rPr>
                <w:rFonts w:ascii="Calibri" w:hAnsi="Calibri" w:cs="Calibri"/>
                <w:sz w:val="12"/>
                <w:szCs w:val="12"/>
                <w:lang w:val="en-US" w:eastAsia="en-US"/>
              </w:rPr>
            </w:pPr>
          </w:p>
        </w:tc>
        <w:tc>
          <w:tcPr>
            <w:tcW w:w="245" w:type="dxa"/>
            <w:tcBorders>
              <w:top w:val="nil"/>
              <w:left w:val="nil"/>
              <w:bottom w:val="single" w:sz="8" w:space="0" w:color="auto"/>
              <w:right w:val="single" w:sz="8" w:space="0" w:color="auto"/>
            </w:tcBorders>
            <w:tcMar>
              <w:top w:w="0" w:type="dxa"/>
              <w:left w:w="108" w:type="dxa"/>
              <w:bottom w:w="0" w:type="dxa"/>
              <w:right w:w="108" w:type="dxa"/>
            </w:tcMar>
          </w:tcPr>
          <w:p w14:paraId="5278B1BB" w14:textId="77777777" w:rsidR="00C65383" w:rsidRDefault="00C65383">
            <w:pPr>
              <w:rPr>
                <w:rFonts w:ascii="Calibri" w:hAnsi="Calibri" w:cs="Calibri"/>
                <w:sz w:val="12"/>
                <w:szCs w:val="12"/>
                <w:lang w:val="en-US" w:eastAsia="en-US"/>
              </w:rPr>
            </w:pPr>
          </w:p>
        </w:tc>
        <w:tc>
          <w:tcPr>
            <w:tcW w:w="245" w:type="dxa"/>
            <w:tcBorders>
              <w:top w:val="nil"/>
              <w:left w:val="nil"/>
              <w:bottom w:val="single" w:sz="8" w:space="0" w:color="auto"/>
              <w:right w:val="single" w:sz="8" w:space="0" w:color="auto"/>
            </w:tcBorders>
            <w:tcMar>
              <w:top w:w="0" w:type="dxa"/>
              <w:left w:w="108" w:type="dxa"/>
              <w:bottom w:w="0" w:type="dxa"/>
              <w:right w:w="108" w:type="dxa"/>
            </w:tcMar>
          </w:tcPr>
          <w:p w14:paraId="7B4722E1" w14:textId="77777777" w:rsidR="00C65383" w:rsidRDefault="00C65383">
            <w:pPr>
              <w:rPr>
                <w:rFonts w:ascii="Calibri" w:hAnsi="Calibri" w:cs="Calibri"/>
                <w:sz w:val="12"/>
                <w:szCs w:val="12"/>
                <w:lang w:val="en-US" w:eastAsia="en-US"/>
              </w:rPr>
            </w:pPr>
          </w:p>
        </w:tc>
        <w:tc>
          <w:tcPr>
            <w:tcW w:w="245" w:type="dxa"/>
            <w:tcBorders>
              <w:top w:val="nil"/>
              <w:left w:val="nil"/>
              <w:bottom w:val="single" w:sz="8" w:space="0" w:color="auto"/>
              <w:right w:val="single" w:sz="8" w:space="0" w:color="auto"/>
            </w:tcBorders>
            <w:tcMar>
              <w:top w:w="0" w:type="dxa"/>
              <w:left w:w="108" w:type="dxa"/>
              <w:bottom w:w="0" w:type="dxa"/>
              <w:right w:w="108" w:type="dxa"/>
            </w:tcMar>
          </w:tcPr>
          <w:p w14:paraId="73120AAB" w14:textId="77777777" w:rsidR="00C65383" w:rsidRDefault="00C65383">
            <w:pPr>
              <w:rPr>
                <w:rFonts w:ascii="Calibri" w:hAnsi="Calibri" w:cs="Calibri"/>
                <w:sz w:val="12"/>
                <w:szCs w:val="12"/>
                <w:lang w:val="en-US" w:eastAsia="en-US"/>
              </w:rPr>
            </w:pPr>
          </w:p>
        </w:tc>
        <w:tc>
          <w:tcPr>
            <w:tcW w:w="301" w:type="dxa"/>
            <w:tcBorders>
              <w:top w:val="nil"/>
              <w:left w:val="nil"/>
              <w:bottom w:val="single" w:sz="8" w:space="0" w:color="auto"/>
              <w:right w:val="single" w:sz="8" w:space="0" w:color="auto"/>
            </w:tcBorders>
            <w:tcMar>
              <w:top w:w="0" w:type="dxa"/>
              <w:left w:w="108" w:type="dxa"/>
              <w:bottom w:w="0" w:type="dxa"/>
              <w:right w:w="108" w:type="dxa"/>
            </w:tcMar>
          </w:tcPr>
          <w:p w14:paraId="163048EC" w14:textId="77777777" w:rsidR="00C65383" w:rsidRDefault="00C65383">
            <w:pPr>
              <w:rPr>
                <w:rFonts w:ascii="Calibri" w:hAnsi="Calibri" w:cs="Calibri"/>
                <w:sz w:val="12"/>
                <w:szCs w:val="12"/>
                <w:lang w:val="en-US" w:eastAsia="en-US"/>
              </w:rPr>
            </w:pPr>
          </w:p>
        </w:tc>
        <w:tc>
          <w:tcPr>
            <w:tcW w:w="303" w:type="dxa"/>
            <w:tcBorders>
              <w:top w:val="nil"/>
              <w:left w:val="nil"/>
              <w:bottom w:val="single" w:sz="8" w:space="0" w:color="auto"/>
              <w:right w:val="single" w:sz="8" w:space="0" w:color="auto"/>
            </w:tcBorders>
            <w:tcMar>
              <w:top w:w="0" w:type="dxa"/>
              <w:left w:w="108" w:type="dxa"/>
              <w:bottom w:w="0" w:type="dxa"/>
              <w:right w:w="108" w:type="dxa"/>
            </w:tcMar>
          </w:tcPr>
          <w:p w14:paraId="556A3084" w14:textId="77777777" w:rsidR="00C65383" w:rsidRDefault="00C65383">
            <w:pPr>
              <w:rPr>
                <w:rFonts w:ascii="Calibri" w:hAnsi="Calibri" w:cs="Calibri"/>
                <w:sz w:val="12"/>
                <w:szCs w:val="12"/>
                <w:lang w:val="en-US" w:eastAsia="en-US"/>
              </w:rPr>
            </w:pPr>
          </w:p>
        </w:tc>
        <w:tc>
          <w:tcPr>
            <w:tcW w:w="298" w:type="dxa"/>
            <w:tcBorders>
              <w:top w:val="nil"/>
              <w:left w:val="nil"/>
              <w:bottom w:val="single" w:sz="8" w:space="0" w:color="auto"/>
              <w:right w:val="single" w:sz="8" w:space="0" w:color="auto"/>
            </w:tcBorders>
            <w:tcMar>
              <w:top w:w="0" w:type="dxa"/>
              <w:left w:w="108" w:type="dxa"/>
              <w:bottom w:w="0" w:type="dxa"/>
              <w:right w:w="108" w:type="dxa"/>
            </w:tcMar>
          </w:tcPr>
          <w:p w14:paraId="65D42D4A" w14:textId="77777777" w:rsidR="00C65383" w:rsidRDefault="00C65383">
            <w:pPr>
              <w:rPr>
                <w:rFonts w:ascii="Calibri" w:hAnsi="Calibri" w:cs="Calibri"/>
                <w:sz w:val="12"/>
                <w:szCs w:val="12"/>
                <w:lang w:val="en-US" w:eastAsia="en-US"/>
              </w:rPr>
            </w:pPr>
          </w:p>
        </w:tc>
        <w:tc>
          <w:tcPr>
            <w:tcW w:w="303" w:type="dxa"/>
            <w:tcBorders>
              <w:top w:val="nil"/>
              <w:left w:val="nil"/>
              <w:bottom w:val="single" w:sz="8" w:space="0" w:color="auto"/>
              <w:right w:val="single" w:sz="8" w:space="0" w:color="auto"/>
            </w:tcBorders>
            <w:tcMar>
              <w:top w:w="0" w:type="dxa"/>
              <w:left w:w="108" w:type="dxa"/>
              <w:bottom w:w="0" w:type="dxa"/>
              <w:right w:w="108" w:type="dxa"/>
            </w:tcMar>
          </w:tcPr>
          <w:p w14:paraId="17DA5AF5" w14:textId="77777777" w:rsidR="00C65383" w:rsidRDefault="00C65383">
            <w:pPr>
              <w:rPr>
                <w:rFonts w:ascii="Calibri" w:hAnsi="Calibri" w:cs="Calibri"/>
                <w:sz w:val="12"/>
                <w:szCs w:val="12"/>
                <w:lang w:val="en-US" w:eastAsia="en-US"/>
              </w:rPr>
            </w:pPr>
          </w:p>
        </w:tc>
        <w:tc>
          <w:tcPr>
            <w:tcW w:w="302" w:type="dxa"/>
            <w:tcBorders>
              <w:top w:val="nil"/>
              <w:left w:val="nil"/>
              <w:bottom w:val="single" w:sz="8" w:space="0" w:color="auto"/>
              <w:right w:val="single" w:sz="8" w:space="0" w:color="auto"/>
            </w:tcBorders>
            <w:tcMar>
              <w:top w:w="0" w:type="dxa"/>
              <w:left w:w="108" w:type="dxa"/>
              <w:bottom w:w="0" w:type="dxa"/>
              <w:right w:w="108" w:type="dxa"/>
            </w:tcMar>
          </w:tcPr>
          <w:p w14:paraId="2EE03223" w14:textId="77777777" w:rsidR="00C65383" w:rsidRDefault="00C65383">
            <w:pPr>
              <w:rPr>
                <w:rFonts w:ascii="Calibri" w:hAnsi="Calibri" w:cs="Calibri"/>
                <w:sz w:val="12"/>
                <w:szCs w:val="12"/>
                <w:lang w:val="en-US" w:eastAsia="en-US"/>
              </w:rPr>
            </w:pPr>
          </w:p>
        </w:tc>
        <w:tc>
          <w:tcPr>
            <w:tcW w:w="291" w:type="dxa"/>
            <w:tcBorders>
              <w:top w:val="nil"/>
              <w:left w:val="nil"/>
              <w:bottom w:val="single" w:sz="8" w:space="0" w:color="auto"/>
              <w:right w:val="single" w:sz="8" w:space="0" w:color="auto"/>
            </w:tcBorders>
            <w:tcMar>
              <w:top w:w="0" w:type="dxa"/>
              <w:left w:w="108" w:type="dxa"/>
              <w:bottom w:w="0" w:type="dxa"/>
              <w:right w:w="108" w:type="dxa"/>
            </w:tcMar>
          </w:tcPr>
          <w:p w14:paraId="69F026FA" w14:textId="77777777" w:rsidR="00C65383" w:rsidRDefault="00C65383">
            <w:pPr>
              <w:rPr>
                <w:rFonts w:ascii="Calibri" w:hAnsi="Calibri" w:cs="Calibri"/>
                <w:sz w:val="12"/>
                <w:szCs w:val="12"/>
                <w:lang w:val="en-US" w:eastAsia="en-US"/>
              </w:rPr>
            </w:pPr>
          </w:p>
        </w:tc>
        <w:tc>
          <w:tcPr>
            <w:tcW w:w="300" w:type="dxa"/>
            <w:tcBorders>
              <w:top w:val="nil"/>
              <w:left w:val="nil"/>
              <w:bottom w:val="single" w:sz="8" w:space="0" w:color="auto"/>
              <w:right w:val="single" w:sz="8" w:space="0" w:color="auto"/>
            </w:tcBorders>
            <w:tcMar>
              <w:top w:w="0" w:type="dxa"/>
              <w:left w:w="108" w:type="dxa"/>
              <w:bottom w:w="0" w:type="dxa"/>
              <w:right w:w="108" w:type="dxa"/>
            </w:tcMar>
          </w:tcPr>
          <w:p w14:paraId="3D1442DA" w14:textId="77777777" w:rsidR="00C65383" w:rsidRDefault="00C65383">
            <w:pPr>
              <w:rPr>
                <w:rFonts w:ascii="Calibri" w:hAnsi="Calibri" w:cs="Calibri"/>
                <w:sz w:val="12"/>
                <w:szCs w:val="12"/>
                <w:lang w:val="en-US" w:eastAsia="en-US"/>
              </w:rPr>
            </w:pPr>
          </w:p>
        </w:tc>
        <w:tc>
          <w:tcPr>
            <w:tcW w:w="303" w:type="dxa"/>
            <w:tcBorders>
              <w:top w:val="nil"/>
              <w:left w:val="nil"/>
              <w:bottom w:val="single" w:sz="8" w:space="0" w:color="auto"/>
              <w:right w:val="single" w:sz="8" w:space="0" w:color="auto"/>
            </w:tcBorders>
            <w:tcMar>
              <w:top w:w="0" w:type="dxa"/>
              <w:left w:w="108" w:type="dxa"/>
              <w:bottom w:w="0" w:type="dxa"/>
              <w:right w:w="108" w:type="dxa"/>
            </w:tcMar>
          </w:tcPr>
          <w:p w14:paraId="4D556C9A" w14:textId="77777777" w:rsidR="00C65383" w:rsidRDefault="00C65383">
            <w:pPr>
              <w:rPr>
                <w:rFonts w:ascii="Calibri" w:hAnsi="Calibri" w:cs="Calibri"/>
                <w:sz w:val="12"/>
                <w:szCs w:val="12"/>
                <w:lang w:val="en-US" w:eastAsia="en-US"/>
              </w:rPr>
            </w:pPr>
          </w:p>
        </w:tc>
        <w:tc>
          <w:tcPr>
            <w:tcW w:w="287" w:type="dxa"/>
            <w:tcBorders>
              <w:top w:val="nil"/>
              <w:left w:val="nil"/>
              <w:bottom w:val="single" w:sz="8" w:space="0" w:color="auto"/>
              <w:right w:val="single" w:sz="8" w:space="0" w:color="auto"/>
            </w:tcBorders>
            <w:tcMar>
              <w:top w:w="0" w:type="dxa"/>
              <w:left w:w="108" w:type="dxa"/>
              <w:bottom w:w="0" w:type="dxa"/>
              <w:right w:w="108" w:type="dxa"/>
            </w:tcMar>
          </w:tcPr>
          <w:p w14:paraId="61342DC1" w14:textId="77777777" w:rsidR="00C65383" w:rsidRDefault="00C65383">
            <w:pPr>
              <w:rPr>
                <w:rFonts w:ascii="Calibri" w:hAnsi="Calibri" w:cs="Calibri"/>
                <w:sz w:val="12"/>
                <w:szCs w:val="12"/>
                <w:lang w:val="en-US" w:eastAsia="en-US"/>
              </w:rPr>
            </w:pPr>
          </w:p>
        </w:tc>
        <w:tc>
          <w:tcPr>
            <w:tcW w:w="287" w:type="dxa"/>
            <w:tcBorders>
              <w:top w:val="nil"/>
              <w:left w:val="nil"/>
              <w:bottom w:val="single" w:sz="8" w:space="0" w:color="auto"/>
              <w:right w:val="single" w:sz="8" w:space="0" w:color="auto"/>
            </w:tcBorders>
            <w:tcMar>
              <w:top w:w="0" w:type="dxa"/>
              <w:left w:w="108" w:type="dxa"/>
              <w:bottom w:w="0" w:type="dxa"/>
              <w:right w:w="108" w:type="dxa"/>
            </w:tcMar>
          </w:tcPr>
          <w:p w14:paraId="29CC2ED7" w14:textId="77777777" w:rsidR="00C65383" w:rsidRDefault="00C65383">
            <w:pPr>
              <w:rPr>
                <w:rFonts w:ascii="Calibri" w:hAnsi="Calibri" w:cs="Calibri"/>
                <w:sz w:val="12"/>
                <w:szCs w:val="12"/>
                <w:lang w:val="en-US" w:eastAsia="en-US"/>
              </w:rPr>
            </w:pPr>
          </w:p>
        </w:tc>
        <w:tc>
          <w:tcPr>
            <w:tcW w:w="3288" w:type="dxa"/>
            <w:gridSpan w:val="12"/>
            <w:tcBorders>
              <w:top w:val="nil"/>
              <w:left w:val="nil"/>
              <w:bottom w:val="single" w:sz="8" w:space="0" w:color="auto"/>
              <w:right w:val="single" w:sz="8" w:space="0" w:color="auto"/>
            </w:tcBorders>
            <w:tcMar>
              <w:top w:w="0" w:type="dxa"/>
              <w:left w:w="108" w:type="dxa"/>
              <w:bottom w:w="0" w:type="dxa"/>
              <w:right w:w="108" w:type="dxa"/>
            </w:tcMar>
          </w:tcPr>
          <w:p w14:paraId="5EF0DB24" w14:textId="77777777" w:rsidR="00C65383" w:rsidRDefault="00C65383" w:rsidP="00C65383">
            <w:pPr>
              <w:jc w:val="center"/>
              <w:rPr>
                <w:rFonts w:ascii="Calibri" w:hAnsi="Calibri" w:cs="Calibri"/>
                <w:sz w:val="12"/>
                <w:szCs w:val="12"/>
                <w:lang w:val="en-US" w:eastAsia="en-US"/>
              </w:rPr>
            </w:pPr>
            <w:r>
              <w:rPr>
                <w:rFonts w:ascii="Calibri" w:hAnsi="Calibri" w:cs="Calibri"/>
                <w:sz w:val="12"/>
                <w:szCs w:val="12"/>
                <w:lang w:val="en-US" w:eastAsia="en-US"/>
              </w:rPr>
              <w:t>12ms</w:t>
            </w:r>
          </w:p>
          <w:p w14:paraId="1BD55DE4" w14:textId="6ABDC049" w:rsidR="00C65383" w:rsidRDefault="00C65383" w:rsidP="00C65383">
            <w:pPr>
              <w:jc w:val="center"/>
              <w:rPr>
                <w:rFonts w:ascii="Calibri" w:hAnsi="Calibri" w:cs="Calibri"/>
                <w:sz w:val="12"/>
                <w:szCs w:val="12"/>
                <w:lang w:val="en-US" w:eastAsia="en-US"/>
              </w:rPr>
            </w:pPr>
            <w:r w:rsidRPr="00341BBC">
              <w:rPr>
                <w:rFonts w:ascii="Calibri" w:eastAsia="Calibri" w:hAnsi="Calibri" w:cs="Calibri"/>
                <w:sz w:val="12"/>
                <w:szCs w:val="12"/>
                <w:lang w:val="en-US"/>
              </w:rPr>
              <w:t>(Includes NPDSCH decoding time)</w:t>
            </w:r>
          </w:p>
        </w:tc>
        <w:tc>
          <w:tcPr>
            <w:tcW w:w="27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37FA7FB" w14:textId="77777777" w:rsidR="00C65383" w:rsidRDefault="00C65383">
            <w:pPr>
              <w:rPr>
                <w:rFonts w:ascii="Calibri" w:hAnsi="Calibri" w:cs="Calibri"/>
                <w:color w:val="000000"/>
                <w:sz w:val="12"/>
                <w:szCs w:val="12"/>
                <w:lang w:val="en-US" w:eastAsia="en-US"/>
              </w:rPr>
            </w:pPr>
          </w:p>
        </w:tc>
        <w:tc>
          <w:tcPr>
            <w:tcW w:w="27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35C22D9" w14:textId="77777777" w:rsidR="00C65383" w:rsidRDefault="00C65383">
            <w:pPr>
              <w:rPr>
                <w:rFonts w:ascii="Calibri" w:hAnsi="Calibri" w:cs="Calibri"/>
                <w:color w:val="000000"/>
                <w:sz w:val="12"/>
                <w:szCs w:val="12"/>
                <w:lang w:val="en-US" w:eastAsia="en-US"/>
              </w:rPr>
            </w:pPr>
          </w:p>
        </w:tc>
        <w:tc>
          <w:tcPr>
            <w:tcW w:w="274" w:type="dxa"/>
            <w:tcBorders>
              <w:top w:val="single" w:sz="8" w:space="0" w:color="auto"/>
              <w:left w:val="nil"/>
              <w:bottom w:val="single" w:sz="8" w:space="0" w:color="FF0000"/>
              <w:right w:val="single" w:sz="8" w:space="0" w:color="auto"/>
            </w:tcBorders>
            <w:shd w:val="clear" w:color="auto" w:fill="auto"/>
            <w:tcMar>
              <w:top w:w="0" w:type="dxa"/>
              <w:left w:w="108" w:type="dxa"/>
              <w:bottom w:w="0" w:type="dxa"/>
              <w:right w:w="108" w:type="dxa"/>
            </w:tcMar>
          </w:tcPr>
          <w:p w14:paraId="70B1B06D" w14:textId="77777777" w:rsidR="00C65383" w:rsidRDefault="00C65383">
            <w:pPr>
              <w:rPr>
                <w:rFonts w:ascii="Calibri" w:hAnsi="Calibri" w:cs="Calibri"/>
                <w:sz w:val="12"/>
                <w:szCs w:val="12"/>
                <w:lang w:val="en-US" w:eastAsia="en-US"/>
              </w:rPr>
            </w:pPr>
          </w:p>
        </w:tc>
        <w:tc>
          <w:tcPr>
            <w:tcW w:w="274" w:type="dxa"/>
            <w:tcBorders>
              <w:top w:val="single" w:sz="8" w:space="0" w:color="auto"/>
              <w:left w:val="nil"/>
              <w:bottom w:val="single" w:sz="8" w:space="0" w:color="FF0000"/>
              <w:right w:val="single" w:sz="8" w:space="0" w:color="auto"/>
            </w:tcBorders>
            <w:shd w:val="clear" w:color="auto" w:fill="auto"/>
            <w:tcMar>
              <w:top w:w="0" w:type="dxa"/>
              <w:left w:w="108" w:type="dxa"/>
              <w:bottom w:w="0" w:type="dxa"/>
              <w:right w:w="108" w:type="dxa"/>
            </w:tcMar>
          </w:tcPr>
          <w:p w14:paraId="6BCA3E61" w14:textId="77777777" w:rsidR="00C65383" w:rsidRDefault="00C65383">
            <w:pPr>
              <w:rPr>
                <w:rFonts w:ascii="Calibri" w:hAnsi="Calibri" w:cs="Calibri"/>
                <w:sz w:val="12"/>
                <w:szCs w:val="12"/>
                <w:lang w:val="en-US" w:eastAsia="en-US"/>
              </w:rPr>
            </w:pPr>
          </w:p>
        </w:tc>
        <w:tc>
          <w:tcPr>
            <w:tcW w:w="274" w:type="dxa"/>
            <w:tcBorders>
              <w:top w:val="single" w:sz="8" w:space="0" w:color="auto"/>
              <w:left w:val="nil"/>
              <w:bottom w:val="single" w:sz="8" w:space="0" w:color="FF0000"/>
              <w:right w:val="single" w:sz="8" w:space="0" w:color="auto"/>
            </w:tcBorders>
            <w:shd w:val="clear" w:color="auto" w:fill="auto"/>
            <w:tcMar>
              <w:top w:w="0" w:type="dxa"/>
              <w:left w:w="108" w:type="dxa"/>
              <w:bottom w:w="0" w:type="dxa"/>
              <w:right w:w="108" w:type="dxa"/>
            </w:tcMar>
          </w:tcPr>
          <w:p w14:paraId="48C807F3" w14:textId="77777777" w:rsidR="00C65383" w:rsidRDefault="00C65383">
            <w:pPr>
              <w:rPr>
                <w:rFonts w:ascii="Calibri" w:hAnsi="Calibri" w:cs="Calibri"/>
                <w:sz w:val="12"/>
                <w:szCs w:val="12"/>
                <w:lang w:val="en-US" w:eastAsia="en-US"/>
              </w:rPr>
            </w:pPr>
          </w:p>
        </w:tc>
        <w:tc>
          <w:tcPr>
            <w:tcW w:w="274" w:type="dxa"/>
            <w:tcBorders>
              <w:top w:val="single" w:sz="8" w:space="0" w:color="auto"/>
              <w:left w:val="nil"/>
              <w:bottom w:val="single" w:sz="8" w:space="0" w:color="FF0000"/>
              <w:right w:val="single" w:sz="8" w:space="0" w:color="auto"/>
            </w:tcBorders>
            <w:shd w:val="clear" w:color="auto" w:fill="auto"/>
            <w:tcMar>
              <w:top w:w="0" w:type="dxa"/>
              <w:left w:w="108" w:type="dxa"/>
              <w:bottom w:w="0" w:type="dxa"/>
              <w:right w:w="108" w:type="dxa"/>
            </w:tcMar>
          </w:tcPr>
          <w:p w14:paraId="3CE5C0BB" w14:textId="77777777" w:rsidR="00C65383" w:rsidRDefault="00C65383">
            <w:pPr>
              <w:rPr>
                <w:rFonts w:ascii="Calibri" w:hAnsi="Calibri" w:cs="Calibri"/>
                <w:sz w:val="12"/>
                <w:szCs w:val="12"/>
                <w:lang w:val="en-US" w:eastAsia="en-US"/>
              </w:rPr>
            </w:pPr>
          </w:p>
        </w:tc>
      </w:tr>
      <w:tr w:rsidR="00C65383" w14:paraId="336AC951" w14:textId="77777777" w:rsidTr="00C65383">
        <w:tc>
          <w:tcPr>
            <w:tcW w:w="8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A017AE" w14:textId="77777777" w:rsidR="00E4014C" w:rsidRDefault="00E4014C">
            <w:pPr>
              <w:rPr>
                <w:rFonts w:ascii="Calibri" w:hAnsi="Calibri" w:cs="Calibri"/>
                <w:sz w:val="12"/>
                <w:szCs w:val="12"/>
                <w:lang w:val="en-US" w:eastAsia="en-US"/>
              </w:rPr>
            </w:pPr>
            <w:r>
              <w:rPr>
                <w:rFonts w:ascii="Calibri" w:hAnsi="Calibri" w:cs="Calibri"/>
                <w:color w:val="FF0000"/>
                <w:sz w:val="12"/>
                <w:szCs w:val="12"/>
              </w:rPr>
              <w:t>Propagation delay in UL direction</w:t>
            </w:r>
          </w:p>
        </w:tc>
        <w:tc>
          <w:tcPr>
            <w:tcW w:w="236" w:type="dxa"/>
            <w:tcBorders>
              <w:top w:val="nil"/>
              <w:left w:val="nil"/>
              <w:bottom w:val="single" w:sz="8" w:space="0" w:color="auto"/>
              <w:right w:val="single" w:sz="8" w:space="0" w:color="auto"/>
            </w:tcBorders>
            <w:tcMar>
              <w:top w:w="0" w:type="dxa"/>
              <w:left w:w="108" w:type="dxa"/>
              <w:bottom w:w="0" w:type="dxa"/>
              <w:right w:w="108" w:type="dxa"/>
            </w:tcMar>
          </w:tcPr>
          <w:p w14:paraId="2AB95025" w14:textId="77777777" w:rsidR="00E4014C" w:rsidRDefault="00E4014C">
            <w:pPr>
              <w:rPr>
                <w:rFonts w:ascii="Calibri" w:hAnsi="Calibri" w:cs="Calibri"/>
                <w:sz w:val="12"/>
                <w:szCs w:val="12"/>
                <w:lang w:val="en-US" w:eastAsia="en-US"/>
              </w:rPr>
            </w:pPr>
          </w:p>
        </w:tc>
        <w:tc>
          <w:tcPr>
            <w:tcW w:w="245" w:type="dxa"/>
            <w:tcBorders>
              <w:top w:val="nil"/>
              <w:left w:val="nil"/>
              <w:bottom w:val="single" w:sz="8" w:space="0" w:color="auto"/>
              <w:right w:val="single" w:sz="8" w:space="0" w:color="auto"/>
            </w:tcBorders>
            <w:tcMar>
              <w:top w:w="0" w:type="dxa"/>
              <w:left w:w="108" w:type="dxa"/>
              <w:bottom w:w="0" w:type="dxa"/>
              <w:right w:w="108" w:type="dxa"/>
            </w:tcMar>
          </w:tcPr>
          <w:p w14:paraId="22445E6E" w14:textId="77777777" w:rsidR="00E4014C" w:rsidRDefault="00E4014C">
            <w:pPr>
              <w:rPr>
                <w:rFonts w:ascii="Calibri" w:hAnsi="Calibri" w:cs="Calibri"/>
                <w:sz w:val="12"/>
                <w:szCs w:val="12"/>
                <w:lang w:val="en-US" w:eastAsia="en-US"/>
              </w:rPr>
            </w:pPr>
          </w:p>
        </w:tc>
        <w:tc>
          <w:tcPr>
            <w:tcW w:w="245" w:type="dxa"/>
            <w:tcBorders>
              <w:top w:val="nil"/>
              <w:left w:val="nil"/>
              <w:bottom w:val="single" w:sz="8" w:space="0" w:color="auto"/>
              <w:right w:val="single" w:sz="8" w:space="0" w:color="auto"/>
            </w:tcBorders>
            <w:tcMar>
              <w:top w:w="0" w:type="dxa"/>
              <w:left w:w="108" w:type="dxa"/>
              <w:bottom w:w="0" w:type="dxa"/>
              <w:right w:w="108" w:type="dxa"/>
            </w:tcMar>
          </w:tcPr>
          <w:p w14:paraId="33E76446" w14:textId="77777777" w:rsidR="00E4014C" w:rsidRDefault="00E4014C">
            <w:pPr>
              <w:rPr>
                <w:rFonts w:ascii="Calibri" w:hAnsi="Calibri" w:cs="Calibri"/>
                <w:sz w:val="12"/>
                <w:szCs w:val="12"/>
                <w:lang w:val="en-US" w:eastAsia="en-US"/>
              </w:rPr>
            </w:pPr>
          </w:p>
        </w:tc>
        <w:tc>
          <w:tcPr>
            <w:tcW w:w="245" w:type="dxa"/>
            <w:tcBorders>
              <w:top w:val="nil"/>
              <w:left w:val="nil"/>
              <w:bottom w:val="single" w:sz="8" w:space="0" w:color="auto"/>
              <w:right w:val="single" w:sz="8" w:space="0" w:color="auto"/>
            </w:tcBorders>
            <w:tcMar>
              <w:top w:w="0" w:type="dxa"/>
              <w:left w:w="108" w:type="dxa"/>
              <w:bottom w:w="0" w:type="dxa"/>
              <w:right w:w="108" w:type="dxa"/>
            </w:tcMar>
          </w:tcPr>
          <w:p w14:paraId="4EFEA1C1" w14:textId="77777777" w:rsidR="00E4014C" w:rsidRDefault="00E4014C">
            <w:pPr>
              <w:rPr>
                <w:rFonts w:ascii="Calibri" w:hAnsi="Calibri" w:cs="Calibri"/>
                <w:sz w:val="12"/>
                <w:szCs w:val="12"/>
                <w:lang w:val="en-US" w:eastAsia="en-US"/>
              </w:rPr>
            </w:pPr>
          </w:p>
        </w:tc>
        <w:tc>
          <w:tcPr>
            <w:tcW w:w="245" w:type="dxa"/>
            <w:tcBorders>
              <w:top w:val="nil"/>
              <w:left w:val="nil"/>
              <w:bottom w:val="single" w:sz="8" w:space="0" w:color="auto"/>
              <w:right w:val="single" w:sz="8" w:space="0" w:color="auto"/>
            </w:tcBorders>
            <w:tcMar>
              <w:top w:w="0" w:type="dxa"/>
              <w:left w:w="108" w:type="dxa"/>
              <w:bottom w:w="0" w:type="dxa"/>
              <w:right w:w="108" w:type="dxa"/>
            </w:tcMar>
          </w:tcPr>
          <w:p w14:paraId="1990382A" w14:textId="77777777" w:rsidR="00E4014C" w:rsidRDefault="00E4014C">
            <w:pPr>
              <w:rPr>
                <w:rFonts w:ascii="Calibri" w:hAnsi="Calibri" w:cs="Calibri"/>
                <w:sz w:val="12"/>
                <w:szCs w:val="12"/>
                <w:lang w:val="en-US" w:eastAsia="en-US"/>
              </w:rPr>
            </w:pPr>
          </w:p>
        </w:tc>
        <w:tc>
          <w:tcPr>
            <w:tcW w:w="301" w:type="dxa"/>
            <w:tcBorders>
              <w:top w:val="nil"/>
              <w:left w:val="nil"/>
              <w:bottom w:val="single" w:sz="8" w:space="0" w:color="auto"/>
              <w:right w:val="single" w:sz="8" w:space="0" w:color="auto"/>
            </w:tcBorders>
            <w:tcMar>
              <w:top w:w="0" w:type="dxa"/>
              <w:left w:w="108" w:type="dxa"/>
              <w:bottom w:w="0" w:type="dxa"/>
              <w:right w:w="108" w:type="dxa"/>
            </w:tcMar>
          </w:tcPr>
          <w:p w14:paraId="4CC76EEF" w14:textId="77777777" w:rsidR="00E4014C" w:rsidRDefault="00E4014C">
            <w:pPr>
              <w:rPr>
                <w:rFonts w:ascii="Calibri" w:hAnsi="Calibri" w:cs="Calibri"/>
                <w:sz w:val="12"/>
                <w:szCs w:val="12"/>
                <w:lang w:val="en-US" w:eastAsia="en-US"/>
              </w:rPr>
            </w:pPr>
          </w:p>
        </w:tc>
        <w:tc>
          <w:tcPr>
            <w:tcW w:w="303" w:type="dxa"/>
            <w:tcBorders>
              <w:top w:val="nil"/>
              <w:left w:val="nil"/>
              <w:bottom w:val="single" w:sz="8" w:space="0" w:color="auto"/>
              <w:right w:val="single" w:sz="8" w:space="0" w:color="auto"/>
            </w:tcBorders>
            <w:tcMar>
              <w:top w:w="0" w:type="dxa"/>
              <w:left w:w="108" w:type="dxa"/>
              <w:bottom w:w="0" w:type="dxa"/>
              <w:right w:w="108" w:type="dxa"/>
            </w:tcMar>
          </w:tcPr>
          <w:p w14:paraId="19F7B233" w14:textId="77777777" w:rsidR="00E4014C" w:rsidRDefault="00E4014C">
            <w:pPr>
              <w:rPr>
                <w:rFonts w:ascii="Calibri" w:hAnsi="Calibri" w:cs="Calibri"/>
                <w:sz w:val="12"/>
                <w:szCs w:val="12"/>
                <w:lang w:val="en-US" w:eastAsia="en-US"/>
              </w:rPr>
            </w:pPr>
          </w:p>
        </w:tc>
        <w:tc>
          <w:tcPr>
            <w:tcW w:w="298" w:type="dxa"/>
            <w:tcBorders>
              <w:top w:val="nil"/>
              <w:left w:val="nil"/>
              <w:bottom w:val="single" w:sz="8" w:space="0" w:color="auto"/>
              <w:right w:val="single" w:sz="8" w:space="0" w:color="auto"/>
            </w:tcBorders>
            <w:tcMar>
              <w:top w:w="0" w:type="dxa"/>
              <w:left w:w="108" w:type="dxa"/>
              <w:bottom w:w="0" w:type="dxa"/>
              <w:right w:w="108" w:type="dxa"/>
            </w:tcMar>
          </w:tcPr>
          <w:p w14:paraId="4E7C0D2B" w14:textId="77777777" w:rsidR="00E4014C" w:rsidRDefault="00E4014C">
            <w:pPr>
              <w:rPr>
                <w:rFonts w:ascii="Calibri" w:hAnsi="Calibri" w:cs="Calibri"/>
                <w:sz w:val="12"/>
                <w:szCs w:val="12"/>
                <w:lang w:val="en-US" w:eastAsia="en-US"/>
              </w:rPr>
            </w:pPr>
          </w:p>
        </w:tc>
        <w:tc>
          <w:tcPr>
            <w:tcW w:w="303" w:type="dxa"/>
            <w:tcBorders>
              <w:top w:val="nil"/>
              <w:left w:val="nil"/>
              <w:bottom w:val="single" w:sz="8" w:space="0" w:color="auto"/>
              <w:right w:val="single" w:sz="8" w:space="0" w:color="auto"/>
            </w:tcBorders>
            <w:tcMar>
              <w:top w:w="0" w:type="dxa"/>
              <w:left w:w="108" w:type="dxa"/>
              <w:bottom w:w="0" w:type="dxa"/>
              <w:right w:w="108" w:type="dxa"/>
            </w:tcMar>
          </w:tcPr>
          <w:p w14:paraId="0811FEC5" w14:textId="77777777" w:rsidR="00E4014C" w:rsidRDefault="00E4014C">
            <w:pPr>
              <w:rPr>
                <w:rFonts w:ascii="Calibri" w:hAnsi="Calibri" w:cs="Calibri"/>
                <w:sz w:val="12"/>
                <w:szCs w:val="12"/>
                <w:lang w:val="en-US" w:eastAsia="en-US"/>
              </w:rPr>
            </w:pPr>
          </w:p>
        </w:tc>
        <w:tc>
          <w:tcPr>
            <w:tcW w:w="302" w:type="dxa"/>
            <w:tcBorders>
              <w:top w:val="nil"/>
              <w:left w:val="nil"/>
              <w:bottom w:val="single" w:sz="8" w:space="0" w:color="auto"/>
              <w:right w:val="single" w:sz="8" w:space="0" w:color="auto"/>
            </w:tcBorders>
            <w:tcMar>
              <w:top w:w="0" w:type="dxa"/>
              <w:left w:w="108" w:type="dxa"/>
              <w:bottom w:w="0" w:type="dxa"/>
              <w:right w:w="108" w:type="dxa"/>
            </w:tcMar>
          </w:tcPr>
          <w:p w14:paraId="35677E5E" w14:textId="77777777" w:rsidR="00E4014C" w:rsidRDefault="00E4014C">
            <w:pPr>
              <w:rPr>
                <w:rFonts w:ascii="Calibri" w:hAnsi="Calibri" w:cs="Calibri"/>
                <w:sz w:val="12"/>
                <w:szCs w:val="12"/>
                <w:lang w:val="en-US" w:eastAsia="en-US"/>
              </w:rPr>
            </w:pPr>
          </w:p>
        </w:tc>
        <w:tc>
          <w:tcPr>
            <w:tcW w:w="291" w:type="dxa"/>
            <w:tcBorders>
              <w:top w:val="nil"/>
              <w:left w:val="nil"/>
              <w:bottom w:val="single" w:sz="8" w:space="0" w:color="auto"/>
              <w:right w:val="single" w:sz="8" w:space="0" w:color="auto"/>
            </w:tcBorders>
            <w:tcMar>
              <w:top w:w="0" w:type="dxa"/>
              <w:left w:w="108" w:type="dxa"/>
              <w:bottom w:w="0" w:type="dxa"/>
              <w:right w:w="108" w:type="dxa"/>
            </w:tcMar>
          </w:tcPr>
          <w:p w14:paraId="5E67BBD5" w14:textId="77777777" w:rsidR="00E4014C" w:rsidRDefault="00E4014C">
            <w:pPr>
              <w:rPr>
                <w:rFonts w:ascii="Calibri" w:hAnsi="Calibri" w:cs="Calibri"/>
                <w:sz w:val="12"/>
                <w:szCs w:val="12"/>
                <w:lang w:val="en-US" w:eastAsia="en-US"/>
              </w:rPr>
            </w:pPr>
          </w:p>
        </w:tc>
        <w:tc>
          <w:tcPr>
            <w:tcW w:w="300" w:type="dxa"/>
            <w:tcBorders>
              <w:top w:val="nil"/>
              <w:left w:val="nil"/>
              <w:bottom w:val="single" w:sz="8" w:space="0" w:color="auto"/>
              <w:right w:val="single" w:sz="8" w:space="0" w:color="auto"/>
            </w:tcBorders>
            <w:tcMar>
              <w:top w:w="0" w:type="dxa"/>
              <w:left w:w="108" w:type="dxa"/>
              <w:bottom w:w="0" w:type="dxa"/>
              <w:right w:w="108" w:type="dxa"/>
            </w:tcMar>
          </w:tcPr>
          <w:p w14:paraId="4C9DB27E" w14:textId="77777777" w:rsidR="00E4014C" w:rsidRDefault="00E4014C">
            <w:pPr>
              <w:rPr>
                <w:rFonts w:ascii="Calibri" w:hAnsi="Calibri" w:cs="Calibri"/>
                <w:sz w:val="12"/>
                <w:szCs w:val="12"/>
                <w:lang w:val="en-US" w:eastAsia="en-US"/>
              </w:rPr>
            </w:pPr>
          </w:p>
        </w:tc>
        <w:tc>
          <w:tcPr>
            <w:tcW w:w="303" w:type="dxa"/>
            <w:tcBorders>
              <w:top w:val="nil"/>
              <w:left w:val="nil"/>
              <w:bottom w:val="single" w:sz="8" w:space="0" w:color="auto"/>
              <w:right w:val="single" w:sz="8" w:space="0" w:color="auto"/>
            </w:tcBorders>
            <w:tcMar>
              <w:top w:w="0" w:type="dxa"/>
              <w:left w:w="108" w:type="dxa"/>
              <w:bottom w:w="0" w:type="dxa"/>
              <w:right w:w="108" w:type="dxa"/>
            </w:tcMar>
          </w:tcPr>
          <w:p w14:paraId="58D57CFD" w14:textId="77777777" w:rsidR="00E4014C" w:rsidRDefault="00E4014C">
            <w:pPr>
              <w:rPr>
                <w:rFonts w:ascii="Calibri" w:hAnsi="Calibri" w:cs="Calibri"/>
                <w:sz w:val="12"/>
                <w:szCs w:val="12"/>
                <w:lang w:val="en-US" w:eastAsia="en-US"/>
              </w:rPr>
            </w:pPr>
          </w:p>
        </w:tc>
        <w:tc>
          <w:tcPr>
            <w:tcW w:w="287" w:type="dxa"/>
            <w:tcBorders>
              <w:top w:val="nil"/>
              <w:left w:val="nil"/>
              <w:bottom w:val="single" w:sz="8" w:space="0" w:color="auto"/>
              <w:right w:val="single" w:sz="8" w:space="0" w:color="auto"/>
            </w:tcBorders>
            <w:tcMar>
              <w:top w:w="0" w:type="dxa"/>
              <w:left w:w="108" w:type="dxa"/>
              <w:bottom w:w="0" w:type="dxa"/>
              <w:right w:w="108" w:type="dxa"/>
            </w:tcMar>
          </w:tcPr>
          <w:p w14:paraId="1128E15C" w14:textId="77777777" w:rsidR="00E4014C" w:rsidRDefault="00E4014C">
            <w:pPr>
              <w:rPr>
                <w:rFonts w:ascii="Calibri" w:hAnsi="Calibri" w:cs="Calibri"/>
                <w:sz w:val="12"/>
                <w:szCs w:val="12"/>
                <w:lang w:val="en-US" w:eastAsia="en-US"/>
              </w:rPr>
            </w:pPr>
          </w:p>
        </w:tc>
        <w:tc>
          <w:tcPr>
            <w:tcW w:w="287" w:type="dxa"/>
            <w:tcBorders>
              <w:top w:val="nil"/>
              <w:left w:val="nil"/>
              <w:bottom w:val="single" w:sz="8" w:space="0" w:color="auto"/>
              <w:right w:val="single" w:sz="8" w:space="0" w:color="auto"/>
            </w:tcBorders>
            <w:tcMar>
              <w:top w:w="0" w:type="dxa"/>
              <w:left w:w="108" w:type="dxa"/>
              <w:bottom w:w="0" w:type="dxa"/>
              <w:right w:w="108" w:type="dxa"/>
            </w:tcMar>
          </w:tcPr>
          <w:p w14:paraId="685A4C07"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6B239EED"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5094EA00"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7BE1DE3C"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231794A4"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5AAE2055"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651B4507"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623409D0"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01695C77"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420CE3EC"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0390B266"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6118B3F1"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0BBC09EF"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47D5C015"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FF0000"/>
            </w:tcBorders>
            <w:tcMar>
              <w:top w:w="0" w:type="dxa"/>
              <w:left w:w="108" w:type="dxa"/>
              <w:bottom w:w="0" w:type="dxa"/>
              <w:right w:w="108" w:type="dxa"/>
            </w:tcMar>
          </w:tcPr>
          <w:p w14:paraId="6E36D08D" w14:textId="77777777" w:rsidR="00E4014C" w:rsidRDefault="00E4014C">
            <w:pPr>
              <w:rPr>
                <w:rFonts w:ascii="Calibri" w:hAnsi="Calibri" w:cs="Calibri"/>
                <w:sz w:val="12"/>
                <w:szCs w:val="12"/>
                <w:lang w:val="en-US" w:eastAsia="en-US"/>
              </w:rPr>
            </w:pPr>
          </w:p>
        </w:tc>
        <w:tc>
          <w:tcPr>
            <w:tcW w:w="1096" w:type="dxa"/>
            <w:gridSpan w:val="4"/>
            <w:tcBorders>
              <w:top w:val="nil"/>
              <w:left w:val="nil"/>
              <w:bottom w:val="single" w:sz="8" w:space="0" w:color="FF0000"/>
              <w:right w:val="single" w:sz="8" w:space="0" w:color="FF0000"/>
            </w:tcBorders>
            <w:tcMar>
              <w:top w:w="0" w:type="dxa"/>
              <w:left w:w="108" w:type="dxa"/>
              <w:bottom w:w="0" w:type="dxa"/>
              <w:right w:w="108" w:type="dxa"/>
            </w:tcMar>
          </w:tcPr>
          <w:p w14:paraId="47EB92C7" w14:textId="77777777" w:rsidR="00E4014C" w:rsidRDefault="00E4014C">
            <w:pPr>
              <w:rPr>
                <w:rFonts w:ascii="Calibri" w:hAnsi="Calibri" w:cs="Calibri"/>
                <w:sz w:val="12"/>
                <w:szCs w:val="12"/>
                <w:lang w:val="en-US" w:eastAsia="en-US"/>
              </w:rPr>
            </w:pPr>
          </w:p>
        </w:tc>
      </w:tr>
      <w:tr w:rsidR="00C65383" w14:paraId="47BFE6A8" w14:textId="77777777" w:rsidTr="00C65383">
        <w:tc>
          <w:tcPr>
            <w:tcW w:w="8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B9E6EB" w14:textId="77777777" w:rsidR="00E4014C" w:rsidRDefault="00E4014C">
            <w:pPr>
              <w:rPr>
                <w:rFonts w:ascii="Calibri" w:hAnsi="Calibri" w:cs="Calibri"/>
                <w:sz w:val="12"/>
                <w:szCs w:val="12"/>
                <w:lang w:val="en-US" w:eastAsia="en-US"/>
              </w:rPr>
            </w:pPr>
            <w:r>
              <w:rPr>
                <w:rFonts w:ascii="Calibri" w:hAnsi="Calibri" w:cs="Calibri"/>
                <w:color w:val="FF0000"/>
                <w:sz w:val="12"/>
                <w:szCs w:val="12"/>
              </w:rPr>
              <w:t xml:space="preserve">Propagation delay in </w:t>
            </w:r>
            <w:r>
              <w:rPr>
                <w:rFonts w:ascii="Calibri" w:hAnsi="Calibri" w:cs="Calibri"/>
                <w:color w:val="FF0000"/>
                <w:sz w:val="12"/>
                <w:szCs w:val="12"/>
                <w:lang w:val="en-US"/>
              </w:rPr>
              <w:t>D</w:t>
            </w:r>
            <w:r>
              <w:rPr>
                <w:rFonts w:ascii="Calibri" w:hAnsi="Calibri" w:cs="Calibri"/>
                <w:color w:val="FF0000"/>
                <w:sz w:val="12"/>
                <w:szCs w:val="12"/>
              </w:rPr>
              <w:t>L direction</w:t>
            </w:r>
          </w:p>
        </w:tc>
        <w:tc>
          <w:tcPr>
            <w:tcW w:w="236" w:type="dxa"/>
            <w:tcBorders>
              <w:top w:val="nil"/>
              <w:left w:val="nil"/>
              <w:bottom w:val="single" w:sz="8" w:space="0" w:color="auto"/>
              <w:right w:val="single" w:sz="8" w:space="0" w:color="auto"/>
            </w:tcBorders>
            <w:tcMar>
              <w:top w:w="0" w:type="dxa"/>
              <w:left w:w="108" w:type="dxa"/>
              <w:bottom w:w="0" w:type="dxa"/>
              <w:right w:w="108" w:type="dxa"/>
            </w:tcMar>
          </w:tcPr>
          <w:p w14:paraId="50DC8B94" w14:textId="77777777" w:rsidR="00E4014C" w:rsidRDefault="00E4014C">
            <w:pPr>
              <w:rPr>
                <w:rFonts w:ascii="Calibri" w:hAnsi="Calibri" w:cs="Calibri"/>
                <w:sz w:val="12"/>
                <w:szCs w:val="12"/>
                <w:lang w:val="en-US" w:eastAsia="en-US"/>
              </w:rPr>
            </w:pPr>
          </w:p>
        </w:tc>
        <w:tc>
          <w:tcPr>
            <w:tcW w:w="245" w:type="dxa"/>
            <w:tcBorders>
              <w:top w:val="nil"/>
              <w:left w:val="nil"/>
              <w:bottom w:val="single" w:sz="8" w:space="0" w:color="auto"/>
              <w:right w:val="single" w:sz="8" w:space="0" w:color="auto"/>
            </w:tcBorders>
            <w:tcMar>
              <w:top w:w="0" w:type="dxa"/>
              <w:left w:w="108" w:type="dxa"/>
              <w:bottom w:w="0" w:type="dxa"/>
              <w:right w:w="108" w:type="dxa"/>
            </w:tcMar>
          </w:tcPr>
          <w:p w14:paraId="37E38E2C" w14:textId="77777777" w:rsidR="00E4014C" w:rsidRDefault="00E4014C">
            <w:pPr>
              <w:rPr>
                <w:rFonts w:ascii="Calibri" w:hAnsi="Calibri" w:cs="Calibri"/>
                <w:sz w:val="12"/>
                <w:szCs w:val="12"/>
                <w:lang w:val="en-US" w:eastAsia="en-US"/>
              </w:rPr>
            </w:pPr>
          </w:p>
        </w:tc>
        <w:tc>
          <w:tcPr>
            <w:tcW w:w="245" w:type="dxa"/>
            <w:tcBorders>
              <w:top w:val="nil"/>
              <w:left w:val="nil"/>
              <w:bottom w:val="single" w:sz="8" w:space="0" w:color="auto"/>
              <w:right w:val="single" w:sz="8" w:space="0" w:color="auto"/>
            </w:tcBorders>
            <w:tcMar>
              <w:top w:w="0" w:type="dxa"/>
              <w:left w:w="108" w:type="dxa"/>
              <w:bottom w:w="0" w:type="dxa"/>
              <w:right w:w="108" w:type="dxa"/>
            </w:tcMar>
          </w:tcPr>
          <w:p w14:paraId="2FD20CEB" w14:textId="77777777" w:rsidR="00E4014C" w:rsidRDefault="00E4014C">
            <w:pPr>
              <w:rPr>
                <w:rFonts w:ascii="Calibri" w:hAnsi="Calibri" w:cs="Calibri"/>
                <w:sz w:val="12"/>
                <w:szCs w:val="12"/>
                <w:lang w:val="en-US" w:eastAsia="en-US"/>
              </w:rPr>
            </w:pPr>
          </w:p>
        </w:tc>
        <w:tc>
          <w:tcPr>
            <w:tcW w:w="245" w:type="dxa"/>
            <w:tcBorders>
              <w:top w:val="nil"/>
              <w:left w:val="nil"/>
              <w:bottom w:val="single" w:sz="8" w:space="0" w:color="auto"/>
              <w:right w:val="single" w:sz="8" w:space="0" w:color="auto"/>
            </w:tcBorders>
            <w:tcMar>
              <w:top w:w="0" w:type="dxa"/>
              <w:left w:w="108" w:type="dxa"/>
              <w:bottom w:w="0" w:type="dxa"/>
              <w:right w:w="108" w:type="dxa"/>
            </w:tcMar>
          </w:tcPr>
          <w:p w14:paraId="28467288" w14:textId="77777777" w:rsidR="00E4014C" w:rsidRDefault="00E4014C">
            <w:pPr>
              <w:rPr>
                <w:rFonts w:ascii="Calibri" w:hAnsi="Calibri" w:cs="Calibri"/>
                <w:sz w:val="12"/>
                <w:szCs w:val="12"/>
                <w:lang w:val="en-US" w:eastAsia="en-US"/>
              </w:rPr>
            </w:pPr>
          </w:p>
        </w:tc>
        <w:tc>
          <w:tcPr>
            <w:tcW w:w="245" w:type="dxa"/>
            <w:tcBorders>
              <w:top w:val="nil"/>
              <w:left w:val="nil"/>
              <w:bottom w:val="single" w:sz="8" w:space="0" w:color="auto"/>
              <w:right w:val="single" w:sz="8" w:space="0" w:color="auto"/>
            </w:tcBorders>
            <w:tcMar>
              <w:top w:w="0" w:type="dxa"/>
              <w:left w:w="108" w:type="dxa"/>
              <w:bottom w:w="0" w:type="dxa"/>
              <w:right w:w="108" w:type="dxa"/>
            </w:tcMar>
          </w:tcPr>
          <w:p w14:paraId="31A4991C" w14:textId="77777777" w:rsidR="00E4014C" w:rsidRDefault="00E4014C">
            <w:pPr>
              <w:rPr>
                <w:rFonts w:ascii="Calibri" w:hAnsi="Calibri" w:cs="Calibri"/>
                <w:sz w:val="12"/>
                <w:szCs w:val="12"/>
                <w:lang w:val="en-US" w:eastAsia="en-US"/>
              </w:rPr>
            </w:pPr>
          </w:p>
        </w:tc>
        <w:tc>
          <w:tcPr>
            <w:tcW w:w="301" w:type="dxa"/>
            <w:tcBorders>
              <w:top w:val="nil"/>
              <w:left w:val="nil"/>
              <w:bottom w:val="single" w:sz="8" w:space="0" w:color="auto"/>
              <w:right w:val="single" w:sz="8" w:space="0" w:color="auto"/>
            </w:tcBorders>
            <w:tcMar>
              <w:top w:w="0" w:type="dxa"/>
              <w:left w:w="108" w:type="dxa"/>
              <w:bottom w:w="0" w:type="dxa"/>
              <w:right w:w="108" w:type="dxa"/>
            </w:tcMar>
          </w:tcPr>
          <w:p w14:paraId="12928883" w14:textId="77777777" w:rsidR="00E4014C" w:rsidRDefault="00E4014C">
            <w:pPr>
              <w:rPr>
                <w:rFonts w:ascii="Calibri" w:hAnsi="Calibri" w:cs="Calibri"/>
                <w:sz w:val="12"/>
                <w:szCs w:val="12"/>
                <w:lang w:val="en-US" w:eastAsia="en-US"/>
              </w:rPr>
            </w:pPr>
          </w:p>
        </w:tc>
        <w:tc>
          <w:tcPr>
            <w:tcW w:w="303" w:type="dxa"/>
            <w:tcBorders>
              <w:top w:val="nil"/>
              <w:left w:val="nil"/>
              <w:bottom w:val="single" w:sz="8" w:space="0" w:color="auto"/>
              <w:right w:val="single" w:sz="8" w:space="0" w:color="auto"/>
            </w:tcBorders>
            <w:tcMar>
              <w:top w:w="0" w:type="dxa"/>
              <w:left w:w="108" w:type="dxa"/>
              <w:bottom w:w="0" w:type="dxa"/>
              <w:right w:w="108" w:type="dxa"/>
            </w:tcMar>
          </w:tcPr>
          <w:p w14:paraId="1A8BCC0E" w14:textId="77777777" w:rsidR="00E4014C" w:rsidRDefault="00E4014C">
            <w:pPr>
              <w:rPr>
                <w:rFonts w:ascii="Calibri" w:hAnsi="Calibri" w:cs="Calibri"/>
                <w:sz w:val="12"/>
                <w:szCs w:val="12"/>
                <w:lang w:val="en-US" w:eastAsia="en-US"/>
              </w:rPr>
            </w:pPr>
          </w:p>
        </w:tc>
        <w:tc>
          <w:tcPr>
            <w:tcW w:w="298" w:type="dxa"/>
            <w:tcBorders>
              <w:top w:val="nil"/>
              <w:left w:val="nil"/>
              <w:bottom w:val="single" w:sz="8" w:space="0" w:color="auto"/>
              <w:right w:val="single" w:sz="8" w:space="0" w:color="auto"/>
            </w:tcBorders>
            <w:tcMar>
              <w:top w:w="0" w:type="dxa"/>
              <w:left w:w="108" w:type="dxa"/>
              <w:bottom w:w="0" w:type="dxa"/>
              <w:right w:w="108" w:type="dxa"/>
            </w:tcMar>
          </w:tcPr>
          <w:p w14:paraId="001FECFD" w14:textId="77777777" w:rsidR="00E4014C" w:rsidRDefault="00E4014C">
            <w:pPr>
              <w:rPr>
                <w:rFonts w:ascii="Calibri" w:hAnsi="Calibri" w:cs="Calibri"/>
                <w:sz w:val="12"/>
                <w:szCs w:val="12"/>
                <w:lang w:val="en-US" w:eastAsia="en-US"/>
              </w:rPr>
            </w:pPr>
          </w:p>
        </w:tc>
        <w:tc>
          <w:tcPr>
            <w:tcW w:w="303" w:type="dxa"/>
            <w:tcBorders>
              <w:top w:val="nil"/>
              <w:left w:val="nil"/>
              <w:bottom w:val="single" w:sz="8" w:space="0" w:color="auto"/>
              <w:right w:val="single" w:sz="8" w:space="0" w:color="auto"/>
            </w:tcBorders>
            <w:tcMar>
              <w:top w:w="0" w:type="dxa"/>
              <w:left w:w="108" w:type="dxa"/>
              <w:bottom w:w="0" w:type="dxa"/>
              <w:right w:w="108" w:type="dxa"/>
            </w:tcMar>
          </w:tcPr>
          <w:p w14:paraId="63D3465A" w14:textId="77777777" w:rsidR="00E4014C" w:rsidRDefault="00E4014C">
            <w:pPr>
              <w:rPr>
                <w:rFonts w:ascii="Calibri" w:hAnsi="Calibri" w:cs="Calibri"/>
                <w:sz w:val="12"/>
                <w:szCs w:val="12"/>
                <w:lang w:val="en-US" w:eastAsia="en-US"/>
              </w:rPr>
            </w:pPr>
          </w:p>
        </w:tc>
        <w:tc>
          <w:tcPr>
            <w:tcW w:w="302" w:type="dxa"/>
            <w:tcBorders>
              <w:top w:val="nil"/>
              <w:left w:val="nil"/>
              <w:bottom w:val="single" w:sz="8" w:space="0" w:color="auto"/>
              <w:right w:val="single" w:sz="8" w:space="0" w:color="auto"/>
            </w:tcBorders>
            <w:tcMar>
              <w:top w:w="0" w:type="dxa"/>
              <w:left w:w="108" w:type="dxa"/>
              <w:bottom w:w="0" w:type="dxa"/>
              <w:right w:w="108" w:type="dxa"/>
            </w:tcMar>
          </w:tcPr>
          <w:p w14:paraId="3B3EDD7D" w14:textId="77777777" w:rsidR="00E4014C" w:rsidRDefault="00E4014C">
            <w:pPr>
              <w:rPr>
                <w:rFonts w:ascii="Calibri" w:hAnsi="Calibri" w:cs="Calibri"/>
                <w:sz w:val="12"/>
                <w:szCs w:val="12"/>
                <w:lang w:val="en-US" w:eastAsia="en-US"/>
              </w:rPr>
            </w:pPr>
          </w:p>
        </w:tc>
        <w:tc>
          <w:tcPr>
            <w:tcW w:w="291" w:type="dxa"/>
            <w:tcBorders>
              <w:top w:val="nil"/>
              <w:left w:val="nil"/>
              <w:bottom w:val="single" w:sz="8" w:space="0" w:color="auto"/>
              <w:right w:val="single" w:sz="8" w:space="0" w:color="auto"/>
            </w:tcBorders>
            <w:tcMar>
              <w:top w:w="0" w:type="dxa"/>
              <w:left w:w="108" w:type="dxa"/>
              <w:bottom w:w="0" w:type="dxa"/>
              <w:right w:w="108" w:type="dxa"/>
            </w:tcMar>
          </w:tcPr>
          <w:p w14:paraId="75C3D0C2" w14:textId="77777777" w:rsidR="00E4014C" w:rsidRDefault="00E4014C">
            <w:pPr>
              <w:rPr>
                <w:rFonts w:ascii="Calibri" w:hAnsi="Calibri" w:cs="Calibri"/>
                <w:sz w:val="12"/>
                <w:szCs w:val="12"/>
                <w:lang w:val="en-US" w:eastAsia="en-US"/>
              </w:rPr>
            </w:pPr>
          </w:p>
        </w:tc>
        <w:tc>
          <w:tcPr>
            <w:tcW w:w="300" w:type="dxa"/>
            <w:tcBorders>
              <w:top w:val="nil"/>
              <w:left w:val="nil"/>
              <w:bottom w:val="single" w:sz="8" w:space="0" w:color="auto"/>
              <w:right w:val="single" w:sz="8" w:space="0" w:color="auto"/>
            </w:tcBorders>
            <w:tcMar>
              <w:top w:w="0" w:type="dxa"/>
              <w:left w:w="108" w:type="dxa"/>
              <w:bottom w:w="0" w:type="dxa"/>
              <w:right w:w="108" w:type="dxa"/>
            </w:tcMar>
          </w:tcPr>
          <w:p w14:paraId="742CA633" w14:textId="77777777" w:rsidR="00E4014C" w:rsidRDefault="00E4014C">
            <w:pPr>
              <w:rPr>
                <w:rFonts w:ascii="Calibri" w:hAnsi="Calibri" w:cs="Calibri"/>
                <w:sz w:val="12"/>
                <w:szCs w:val="12"/>
                <w:lang w:val="en-US" w:eastAsia="en-US"/>
              </w:rPr>
            </w:pPr>
          </w:p>
        </w:tc>
        <w:tc>
          <w:tcPr>
            <w:tcW w:w="303" w:type="dxa"/>
            <w:tcBorders>
              <w:top w:val="nil"/>
              <w:left w:val="nil"/>
              <w:bottom w:val="single" w:sz="8" w:space="0" w:color="auto"/>
              <w:right w:val="single" w:sz="8" w:space="0" w:color="auto"/>
            </w:tcBorders>
            <w:tcMar>
              <w:top w:w="0" w:type="dxa"/>
              <w:left w:w="108" w:type="dxa"/>
              <w:bottom w:w="0" w:type="dxa"/>
              <w:right w:w="108" w:type="dxa"/>
            </w:tcMar>
          </w:tcPr>
          <w:p w14:paraId="6FF0D8F4" w14:textId="77777777" w:rsidR="00E4014C" w:rsidRDefault="00E4014C">
            <w:pPr>
              <w:rPr>
                <w:rFonts w:ascii="Calibri" w:hAnsi="Calibri" w:cs="Calibri"/>
                <w:sz w:val="12"/>
                <w:szCs w:val="12"/>
                <w:lang w:val="en-US" w:eastAsia="en-US"/>
              </w:rPr>
            </w:pPr>
          </w:p>
        </w:tc>
        <w:tc>
          <w:tcPr>
            <w:tcW w:w="287" w:type="dxa"/>
            <w:tcBorders>
              <w:top w:val="nil"/>
              <w:left w:val="nil"/>
              <w:bottom w:val="single" w:sz="8" w:space="0" w:color="auto"/>
              <w:right w:val="single" w:sz="8" w:space="0" w:color="auto"/>
            </w:tcBorders>
            <w:tcMar>
              <w:top w:w="0" w:type="dxa"/>
              <w:left w:w="108" w:type="dxa"/>
              <w:bottom w:w="0" w:type="dxa"/>
              <w:right w:w="108" w:type="dxa"/>
            </w:tcMar>
          </w:tcPr>
          <w:p w14:paraId="05BFEE2C" w14:textId="77777777" w:rsidR="00E4014C" w:rsidRDefault="00E4014C">
            <w:pPr>
              <w:rPr>
                <w:rFonts w:ascii="Calibri" w:hAnsi="Calibri" w:cs="Calibri"/>
                <w:sz w:val="12"/>
                <w:szCs w:val="12"/>
                <w:lang w:val="en-US" w:eastAsia="en-US"/>
              </w:rPr>
            </w:pPr>
          </w:p>
        </w:tc>
        <w:tc>
          <w:tcPr>
            <w:tcW w:w="287" w:type="dxa"/>
            <w:tcBorders>
              <w:top w:val="nil"/>
              <w:left w:val="nil"/>
              <w:bottom w:val="single" w:sz="8" w:space="0" w:color="auto"/>
              <w:right w:val="single" w:sz="8" w:space="0" w:color="auto"/>
            </w:tcBorders>
            <w:tcMar>
              <w:top w:w="0" w:type="dxa"/>
              <w:left w:w="108" w:type="dxa"/>
              <w:bottom w:w="0" w:type="dxa"/>
              <w:right w:w="108" w:type="dxa"/>
            </w:tcMar>
          </w:tcPr>
          <w:p w14:paraId="2F20C642"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17629544"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3C050986"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284B3FE2"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69DE91A6"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1A867143"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32B3D6A8"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383EB12A"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581F72B2"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497FF9B8"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4D9BE6A1"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70EB7FB5"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158F3F10"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3373097A"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5F3F5DCB"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1CFE11BC"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59FB1CBB"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118A1E0F" w14:textId="77777777" w:rsidR="00E4014C" w:rsidRDefault="00E4014C">
            <w:pPr>
              <w:rPr>
                <w:rFonts w:ascii="Calibri" w:hAnsi="Calibri" w:cs="Calibri"/>
                <w:sz w:val="12"/>
                <w:szCs w:val="12"/>
                <w:lang w:val="en-US" w:eastAsia="en-US"/>
              </w:rPr>
            </w:pPr>
          </w:p>
        </w:tc>
        <w:tc>
          <w:tcPr>
            <w:tcW w:w="274" w:type="dxa"/>
            <w:tcBorders>
              <w:top w:val="nil"/>
              <w:left w:val="nil"/>
              <w:bottom w:val="single" w:sz="8" w:space="0" w:color="auto"/>
              <w:right w:val="single" w:sz="8" w:space="0" w:color="auto"/>
            </w:tcBorders>
            <w:tcMar>
              <w:top w:w="0" w:type="dxa"/>
              <w:left w:w="108" w:type="dxa"/>
              <w:bottom w:w="0" w:type="dxa"/>
              <w:right w:w="108" w:type="dxa"/>
            </w:tcMar>
          </w:tcPr>
          <w:p w14:paraId="7AAFDD0B" w14:textId="77777777" w:rsidR="00E4014C" w:rsidRDefault="00E4014C">
            <w:pPr>
              <w:rPr>
                <w:rFonts w:ascii="Calibri" w:hAnsi="Calibri" w:cs="Calibri"/>
                <w:sz w:val="12"/>
                <w:szCs w:val="12"/>
                <w:lang w:val="en-US" w:eastAsia="en-US"/>
              </w:rPr>
            </w:pPr>
          </w:p>
        </w:tc>
      </w:tr>
    </w:tbl>
    <w:p w14:paraId="528A397F" w14:textId="77777777" w:rsidR="00C65383" w:rsidRDefault="00C65383" w:rsidP="00C65383">
      <w:pPr>
        <w:rPr>
          <w:rFonts w:ascii="Calibri" w:eastAsiaTheme="minorHAnsi" w:hAnsi="Calibri" w:cs="Calibri"/>
          <w:sz w:val="12"/>
          <w:szCs w:val="12"/>
          <w:lang w:val="en-US" w:eastAsia="en-US"/>
        </w:rPr>
      </w:pPr>
    </w:p>
    <w:p w14:paraId="39D4BB41" w14:textId="0DF27A9C" w:rsidR="00E4014C" w:rsidRDefault="00E4014C" w:rsidP="00C65383">
      <w:r w:rsidRPr="00C65383">
        <w:t>Time progression continues …</w:t>
      </w:r>
    </w:p>
    <w:p w14:paraId="2A566AA5" w14:textId="77777777" w:rsidR="00C65383" w:rsidRPr="00C65383" w:rsidRDefault="00C65383" w:rsidP="00C65383"/>
    <w:tbl>
      <w:tblPr>
        <w:tblW w:w="0" w:type="auto"/>
        <w:tblInd w:w="-118" w:type="dxa"/>
        <w:tblLayout w:type="fixed"/>
        <w:tblCellMar>
          <w:left w:w="0" w:type="dxa"/>
          <w:right w:w="0" w:type="dxa"/>
        </w:tblCellMar>
        <w:tblLook w:val="04A0" w:firstRow="1" w:lastRow="0" w:firstColumn="1" w:lastColumn="0" w:noHBand="0" w:noVBand="1"/>
      </w:tblPr>
      <w:tblGrid>
        <w:gridCol w:w="814"/>
        <w:gridCol w:w="281"/>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tblGrid>
      <w:tr w:rsidR="00C65383" w14:paraId="4CEFB140" w14:textId="77777777" w:rsidTr="00B32EE3">
        <w:tc>
          <w:tcPr>
            <w:tcW w:w="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20725F" w14:textId="77777777" w:rsidR="00C65383" w:rsidRDefault="00C65383">
            <w:pPr>
              <w:rPr>
                <w:rFonts w:ascii="Calibri" w:hAnsi="Calibri" w:cs="Calibri"/>
                <w:sz w:val="22"/>
                <w:szCs w:val="22"/>
                <w:lang w:val="en-US"/>
              </w:rPr>
            </w:pPr>
            <w:r>
              <w:rPr>
                <w:rFonts w:ascii="Calibri" w:hAnsi="Calibri" w:cs="Calibri"/>
                <w:sz w:val="12"/>
                <w:szCs w:val="12"/>
                <w:lang w:val="en-US" w:eastAsia="en-US"/>
              </w:rPr>
              <w:t>Subframe#</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08479" w14:textId="77777777" w:rsidR="00C65383" w:rsidRDefault="00C65383">
            <w:pPr>
              <w:rPr>
                <w:rFonts w:ascii="Calibri" w:hAnsi="Calibri" w:cs="Calibri"/>
                <w:sz w:val="22"/>
                <w:szCs w:val="22"/>
                <w:lang w:val="en-US"/>
              </w:rPr>
            </w:pPr>
            <w:r>
              <w:rPr>
                <w:rFonts w:ascii="Calibri" w:hAnsi="Calibri" w:cs="Calibri"/>
                <w:sz w:val="12"/>
                <w:szCs w:val="12"/>
                <w:lang w:val="en-US" w:eastAsia="en-US"/>
              </w:rPr>
              <w:t>33</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76E742" w14:textId="77777777" w:rsidR="00C65383" w:rsidRDefault="00C65383">
            <w:pPr>
              <w:rPr>
                <w:rFonts w:ascii="Calibri" w:hAnsi="Calibri" w:cs="Calibri"/>
                <w:sz w:val="22"/>
                <w:szCs w:val="22"/>
                <w:lang w:val="en-US"/>
              </w:rPr>
            </w:pPr>
            <w:r>
              <w:rPr>
                <w:rFonts w:ascii="Calibri" w:hAnsi="Calibri" w:cs="Calibri"/>
                <w:sz w:val="12"/>
                <w:szCs w:val="12"/>
                <w:lang w:val="en-US" w:eastAsia="en-US"/>
              </w:rPr>
              <w:t>34</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928587" w14:textId="77777777" w:rsidR="00C65383" w:rsidRDefault="00C65383">
            <w:pPr>
              <w:rPr>
                <w:rFonts w:ascii="Calibri" w:hAnsi="Calibri" w:cs="Calibri"/>
                <w:sz w:val="22"/>
                <w:szCs w:val="22"/>
                <w:lang w:val="en-US"/>
              </w:rPr>
            </w:pPr>
            <w:r>
              <w:rPr>
                <w:rFonts w:ascii="Calibri" w:hAnsi="Calibri" w:cs="Calibri"/>
                <w:sz w:val="12"/>
                <w:szCs w:val="12"/>
                <w:lang w:val="en-US" w:eastAsia="en-US"/>
              </w:rPr>
              <w:t>35</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194883" w14:textId="77777777" w:rsidR="00C65383" w:rsidRDefault="00C65383">
            <w:pPr>
              <w:rPr>
                <w:rFonts w:ascii="Calibri" w:hAnsi="Calibri" w:cs="Calibri"/>
                <w:sz w:val="22"/>
                <w:szCs w:val="22"/>
                <w:lang w:val="en-US"/>
              </w:rPr>
            </w:pPr>
            <w:r>
              <w:rPr>
                <w:rFonts w:ascii="Calibri" w:hAnsi="Calibri" w:cs="Calibri"/>
                <w:sz w:val="12"/>
                <w:szCs w:val="12"/>
                <w:lang w:val="en-US" w:eastAsia="en-US"/>
              </w:rPr>
              <w:t>36</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FF9379" w14:textId="77777777" w:rsidR="00C65383" w:rsidRDefault="00C65383">
            <w:pPr>
              <w:rPr>
                <w:rFonts w:ascii="Calibri" w:hAnsi="Calibri" w:cs="Calibri"/>
                <w:sz w:val="22"/>
                <w:szCs w:val="22"/>
                <w:lang w:val="en-US"/>
              </w:rPr>
            </w:pPr>
            <w:r>
              <w:rPr>
                <w:rFonts w:ascii="Calibri" w:hAnsi="Calibri" w:cs="Calibri"/>
                <w:sz w:val="12"/>
                <w:szCs w:val="12"/>
                <w:lang w:val="en-US" w:eastAsia="en-US"/>
              </w:rPr>
              <w:t>37</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C9572E" w14:textId="77777777" w:rsidR="00C65383" w:rsidRDefault="00C65383">
            <w:pPr>
              <w:rPr>
                <w:rFonts w:ascii="Calibri" w:hAnsi="Calibri" w:cs="Calibri"/>
                <w:sz w:val="22"/>
                <w:szCs w:val="22"/>
                <w:lang w:val="en-US"/>
              </w:rPr>
            </w:pPr>
            <w:r>
              <w:rPr>
                <w:rFonts w:ascii="Calibri" w:hAnsi="Calibri" w:cs="Calibri"/>
                <w:sz w:val="12"/>
                <w:szCs w:val="12"/>
                <w:lang w:val="en-US" w:eastAsia="en-US"/>
              </w:rPr>
              <w:t>38</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2271D4" w14:textId="77777777" w:rsidR="00C65383" w:rsidRDefault="00C65383">
            <w:pPr>
              <w:rPr>
                <w:rFonts w:ascii="Calibri" w:hAnsi="Calibri" w:cs="Calibri"/>
                <w:sz w:val="22"/>
                <w:szCs w:val="22"/>
                <w:lang w:val="en-US"/>
              </w:rPr>
            </w:pPr>
            <w:r>
              <w:rPr>
                <w:rFonts w:ascii="Calibri" w:hAnsi="Calibri" w:cs="Calibri"/>
                <w:sz w:val="12"/>
                <w:szCs w:val="12"/>
                <w:lang w:val="en-US" w:eastAsia="en-US"/>
              </w:rPr>
              <w:t>39</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759DFE" w14:textId="77777777" w:rsidR="00C65383" w:rsidRDefault="00C65383">
            <w:pPr>
              <w:rPr>
                <w:rFonts w:ascii="Calibri" w:hAnsi="Calibri" w:cs="Calibri"/>
                <w:sz w:val="22"/>
                <w:szCs w:val="22"/>
                <w:lang w:val="en-US"/>
              </w:rPr>
            </w:pPr>
            <w:r>
              <w:rPr>
                <w:rFonts w:ascii="Calibri" w:hAnsi="Calibri" w:cs="Calibri"/>
                <w:sz w:val="12"/>
                <w:szCs w:val="12"/>
                <w:lang w:val="en-US" w:eastAsia="en-US"/>
              </w:rPr>
              <w:t>40</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3AFA28" w14:textId="77777777" w:rsidR="00C65383" w:rsidRDefault="00C65383">
            <w:pPr>
              <w:rPr>
                <w:rFonts w:ascii="Calibri" w:hAnsi="Calibri" w:cs="Calibri"/>
                <w:sz w:val="22"/>
                <w:szCs w:val="22"/>
                <w:lang w:val="en-US"/>
              </w:rPr>
            </w:pPr>
            <w:r>
              <w:rPr>
                <w:rFonts w:ascii="Calibri" w:hAnsi="Calibri" w:cs="Calibri"/>
                <w:sz w:val="12"/>
                <w:szCs w:val="12"/>
                <w:lang w:val="en-US" w:eastAsia="en-US"/>
              </w:rPr>
              <w:t>41</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9BA50E" w14:textId="77777777" w:rsidR="00C65383" w:rsidRDefault="00C65383">
            <w:pPr>
              <w:rPr>
                <w:rFonts w:ascii="Calibri" w:hAnsi="Calibri" w:cs="Calibri"/>
                <w:sz w:val="22"/>
                <w:szCs w:val="22"/>
                <w:lang w:val="en-US"/>
              </w:rPr>
            </w:pPr>
            <w:r>
              <w:rPr>
                <w:rFonts w:ascii="Calibri" w:hAnsi="Calibri" w:cs="Calibri"/>
                <w:sz w:val="12"/>
                <w:szCs w:val="12"/>
                <w:lang w:val="en-US" w:eastAsia="en-US"/>
              </w:rPr>
              <w:t>42</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17B95E" w14:textId="77777777" w:rsidR="00C65383" w:rsidRDefault="00C65383">
            <w:pPr>
              <w:rPr>
                <w:rFonts w:ascii="Calibri" w:hAnsi="Calibri" w:cs="Calibri"/>
                <w:sz w:val="22"/>
                <w:szCs w:val="22"/>
                <w:lang w:val="en-US"/>
              </w:rPr>
            </w:pPr>
            <w:r>
              <w:rPr>
                <w:rFonts w:ascii="Calibri" w:hAnsi="Calibri" w:cs="Calibri"/>
                <w:sz w:val="12"/>
                <w:szCs w:val="12"/>
                <w:lang w:val="en-US" w:eastAsia="en-US"/>
              </w:rPr>
              <w:t>43</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2F163B" w14:textId="77777777" w:rsidR="00C65383" w:rsidRDefault="00C65383">
            <w:pPr>
              <w:rPr>
                <w:rFonts w:ascii="Calibri" w:hAnsi="Calibri" w:cs="Calibri"/>
                <w:sz w:val="22"/>
                <w:szCs w:val="22"/>
                <w:lang w:val="en-US"/>
              </w:rPr>
            </w:pPr>
            <w:r>
              <w:rPr>
                <w:rFonts w:ascii="Calibri" w:hAnsi="Calibri" w:cs="Calibri"/>
                <w:sz w:val="12"/>
                <w:szCs w:val="12"/>
                <w:lang w:val="en-US" w:eastAsia="en-US"/>
              </w:rPr>
              <w:t>44</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748910" w14:textId="77777777" w:rsidR="00C65383" w:rsidRDefault="00C65383">
            <w:pPr>
              <w:rPr>
                <w:rFonts w:ascii="Calibri" w:hAnsi="Calibri" w:cs="Calibri"/>
                <w:sz w:val="22"/>
                <w:szCs w:val="22"/>
                <w:lang w:val="en-US"/>
              </w:rPr>
            </w:pPr>
            <w:r>
              <w:rPr>
                <w:rFonts w:ascii="Calibri" w:hAnsi="Calibri" w:cs="Calibri"/>
                <w:sz w:val="12"/>
                <w:szCs w:val="12"/>
                <w:lang w:val="en-US" w:eastAsia="en-US"/>
              </w:rPr>
              <w:t>45</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BAE40F" w14:textId="77777777" w:rsidR="00C65383" w:rsidRDefault="00C65383">
            <w:pPr>
              <w:rPr>
                <w:rFonts w:ascii="Calibri" w:hAnsi="Calibri" w:cs="Calibri"/>
                <w:sz w:val="22"/>
                <w:szCs w:val="22"/>
                <w:lang w:val="en-US"/>
              </w:rPr>
            </w:pPr>
            <w:r>
              <w:rPr>
                <w:rFonts w:ascii="Calibri" w:hAnsi="Calibri" w:cs="Calibri"/>
                <w:sz w:val="12"/>
                <w:szCs w:val="12"/>
                <w:lang w:val="en-US" w:eastAsia="en-US"/>
              </w:rPr>
              <w:t>46</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CBE499" w14:textId="77777777" w:rsidR="00C65383" w:rsidRDefault="00C65383">
            <w:pPr>
              <w:rPr>
                <w:rFonts w:ascii="Calibri" w:hAnsi="Calibri" w:cs="Calibri"/>
                <w:sz w:val="22"/>
                <w:szCs w:val="22"/>
                <w:lang w:val="en-US"/>
              </w:rPr>
            </w:pPr>
            <w:r>
              <w:rPr>
                <w:rFonts w:ascii="Calibri" w:hAnsi="Calibri" w:cs="Calibri"/>
                <w:sz w:val="12"/>
                <w:szCs w:val="12"/>
                <w:lang w:val="en-US" w:eastAsia="en-US"/>
              </w:rPr>
              <w:t>47</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0D908E" w14:textId="77777777" w:rsidR="00C65383" w:rsidRDefault="00C65383">
            <w:pPr>
              <w:rPr>
                <w:rFonts w:ascii="Calibri" w:hAnsi="Calibri" w:cs="Calibri"/>
                <w:sz w:val="22"/>
                <w:szCs w:val="22"/>
                <w:lang w:val="en-US"/>
              </w:rPr>
            </w:pPr>
            <w:r>
              <w:rPr>
                <w:rFonts w:ascii="Calibri" w:hAnsi="Calibri" w:cs="Calibri"/>
                <w:sz w:val="12"/>
                <w:szCs w:val="12"/>
                <w:lang w:val="en-US" w:eastAsia="en-US"/>
              </w:rPr>
              <w:t>48</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6F82AA" w14:textId="77777777" w:rsidR="00C65383" w:rsidRDefault="00C65383">
            <w:pPr>
              <w:rPr>
                <w:rFonts w:ascii="Calibri" w:hAnsi="Calibri" w:cs="Calibri"/>
                <w:sz w:val="22"/>
                <w:szCs w:val="22"/>
                <w:lang w:val="en-US"/>
              </w:rPr>
            </w:pPr>
            <w:r>
              <w:rPr>
                <w:rFonts w:ascii="Calibri" w:hAnsi="Calibri" w:cs="Calibri"/>
                <w:sz w:val="12"/>
                <w:szCs w:val="12"/>
                <w:lang w:val="en-US" w:eastAsia="en-US"/>
              </w:rPr>
              <w:t>49</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F4569A" w14:textId="77777777" w:rsidR="00C65383" w:rsidRDefault="00C65383">
            <w:pPr>
              <w:rPr>
                <w:rFonts w:ascii="Calibri" w:hAnsi="Calibri" w:cs="Calibri"/>
                <w:sz w:val="22"/>
                <w:szCs w:val="22"/>
                <w:lang w:val="en-US"/>
              </w:rPr>
            </w:pPr>
            <w:r>
              <w:rPr>
                <w:rFonts w:ascii="Calibri" w:hAnsi="Calibri" w:cs="Calibri"/>
                <w:sz w:val="12"/>
                <w:szCs w:val="12"/>
                <w:lang w:val="en-US" w:eastAsia="en-US"/>
              </w:rPr>
              <w:t>50</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AB172F" w14:textId="77777777" w:rsidR="00C65383" w:rsidRDefault="00C65383">
            <w:pPr>
              <w:rPr>
                <w:rFonts w:ascii="Calibri" w:hAnsi="Calibri" w:cs="Calibri"/>
                <w:sz w:val="22"/>
                <w:szCs w:val="22"/>
                <w:lang w:val="en-US"/>
              </w:rPr>
            </w:pPr>
            <w:r>
              <w:rPr>
                <w:rFonts w:ascii="Calibri" w:hAnsi="Calibri" w:cs="Calibri"/>
                <w:sz w:val="12"/>
                <w:szCs w:val="12"/>
                <w:lang w:val="en-US" w:eastAsia="en-US"/>
              </w:rPr>
              <w:t>51</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A51EC1" w14:textId="77777777" w:rsidR="00C65383" w:rsidRDefault="00C65383">
            <w:pPr>
              <w:rPr>
                <w:rFonts w:ascii="Calibri" w:hAnsi="Calibri" w:cs="Calibri"/>
                <w:sz w:val="22"/>
                <w:szCs w:val="22"/>
                <w:lang w:val="en-US"/>
              </w:rPr>
            </w:pPr>
            <w:r>
              <w:rPr>
                <w:rFonts w:ascii="Calibri" w:hAnsi="Calibri" w:cs="Calibri"/>
                <w:sz w:val="12"/>
                <w:szCs w:val="12"/>
                <w:lang w:val="en-US" w:eastAsia="en-US"/>
              </w:rPr>
              <w:t>52</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9CEE8" w14:textId="77777777" w:rsidR="00C65383" w:rsidRDefault="00C65383">
            <w:pPr>
              <w:rPr>
                <w:rFonts w:ascii="Calibri" w:hAnsi="Calibri" w:cs="Calibri"/>
                <w:sz w:val="22"/>
                <w:szCs w:val="22"/>
                <w:lang w:val="en-US"/>
              </w:rPr>
            </w:pPr>
            <w:r>
              <w:rPr>
                <w:rFonts w:ascii="Calibri" w:hAnsi="Calibri" w:cs="Calibri"/>
                <w:sz w:val="12"/>
                <w:szCs w:val="12"/>
                <w:lang w:val="en-US" w:eastAsia="en-US"/>
              </w:rPr>
              <w:t>53</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A37504" w14:textId="77777777" w:rsidR="00C65383" w:rsidRDefault="00C65383">
            <w:pPr>
              <w:rPr>
                <w:rFonts w:ascii="Calibri" w:hAnsi="Calibri" w:cs="Calibri"/>
                <w:sz w:val="22"/>
                <w:szCs w:val="22"/>
                <w:lang w:val="en-US"/>
              </w:rPr>
            </w:pPr>
            <w:r>
              <w:rPr>
                <w:rFonts w:ascii="Calibri" w:hAnsi="Calibri" w:cs="Calibri"/>
                <w:sz w:val="12"/>
                <w:szCs w:val="12"/>
                <w:lang w:val="en-US" w:eastAsia="en-US"/>
              </w:rPr>
              <w:t>54</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CD1962" w14:textId="77777777" w:rsidR="00C65383" w:rsidRDefault="00C65383">
            <w:pPr>
              <w:rPr>
                <w:rFonts w:ascii="Calibri" w:hAnsi="Calibri" w:cs="Calibri"/>
                <w:sz w:val="22"/>
                <w:szCs w:val="22"/>
                <w:lang w:val="en-US"/>
              </w:rPr>
            </w:pPr>
            <w:r>
              <w:rPr>
                <w:rFonts w:ascii="Calibri" w:hAnsi="Calibri" w:cs="Calibri"/>
                <w:sz w:val="12"/>
                <w:szCs w:val="12"/>
                <w:lang w:val="en-US" w:eastAsia="en-US"/>
              </w:rPr>
              <w:t>55</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53930E" w14:textId="77777777" w:rsidR="00C65383" w:rsidRDefault="00C65383">
            <w:pPr>
              <w:rPr>
                <w:rFonts w:ascii="Calibri" w:hAnsi="Calibri" w:cs="Calibri"/>
                <w:sz w:val="22"/>
                <w:szCs w:val="22"/>
                <w:lang w:val="en-US"/>
              </w:rPr>
            </w:pPr>
            <w:r>
              <w:rPr>
                <w:rFonts w:ascii="Calibri" w:hAnsi="Calibri" w:cs="Calibri"/>
                <w:sz w:val="12"/>
                <w:szCs w:val="12"/>
                <w:lang w:val="en-US" w:eastAsia="en-US"/>
              </w:rPr>
              <w:t>56</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3D3A61" w14:textId="77777777" w:rsidR="00C65383" w:rsidRDefault="00C65383">
            <w:pPr>
              <w:rPr>
                <w:rFonts w:ascii="Calibri" w:hAnsi="Calibri" w:cs="Calibri"/>
                <w:sz w:val="22"/>
                <w:szCs w:val="22"/>
                <w:lang w:val="en-US"/>
              </w:rPr>
            </w:pPr>
            <w:r>
              <w:rPr>
                <w:rFonts w:ascii="Calibri" w:hAnsi="Calibri" w:cs="Calibri"/>
                <w:sz w:val="12"/>
                <w:szCs w:val="12"/>
                <w:lang w:val="en-US" w:eastAsia="en-US"/>
              </w:rPr>
              <w:t>57</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F58137" w14:textId="77777777" w:rsidR="00C65383" w:rsidRDefault="00C65383">
            <w:pPr>
              <w:rPr>
                <w:rFonts w:ascii="Calibri" w:hAnsi="Calibri" w:cs="Calibri"/>
                <w:sz w:val="22"/>
                <w:szCs w:val="22"/>
                <w:lang w:val="en-US"/>
              </w:rPr>
            </w:pPr>
            <w:r>
              <w:rPr>
                <w:rFonts w:ascii="Calibri" w:hAnsi="Calibri" w:cs="Calibri"/>
                <w:sz w:val="12"/>
                <w:szCs w:val="12"/>
                <w:lang w:val="en-US" w:eastAsia="en-US"/>
              </w:rPr>
              <w:t>58</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6AFCFD" w14:textId="77777777" w:rsidR="00C65383" w:rsidRDefault="00C65383">
            <w:pPr>
              <w:rPr>
                <w:rFonts w:ascii="Calibri" w:hAnsi="Calibri" w:cs="Calibri"/>
                <w:sz w:val="22"/>
                <w:szCs w:val="22"/>
                <w:lang w:val="en-US"/>
              </w:rPr>
            </w:pPr>
            <w:r>
              <w:rPr>
                <w:rFonts w:ascii="Calibri" w:hAnsi="Calibri" w:cs="Calibri"/>
                <w:sz w:val="12"/>
                <w:szCs w:val="12"/>
                <w:lang w:val="en-US" w:eastAsia="en-US"/>
              </w:rPr>
              <w:t>59</w:t>
            </w:r>
          </w:p>
        </w:tc>
      </w:tr>
      <w:tr w:rsidR="00C65383" w14:paraId="1EB393C6" w14:textId="77777777" w:rsidTr="00B32EE3">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6FCFF6" w14:textId="77777777" w:rsidR="00C65383" w:rsidRDefault="00C65383">
            <w:pPr>
              <w:rPr>
                <w:rFonts w:ascii="Calibri" w:hAnsi="Calibri" w:cs="Calibri"/>
                <w:sz w:val="12"/>
                <w:szCs w:val="12"/>
                <w:lang w:val="en-US" w:eastAsia="en-US"/>
              </w:rPr>
            </w:pPr>
            <w:r>
              <w:rPr>
                <w:rFonts w:ascii="Calibri" w:hAnsi="Calibri" w:cs="Calibri"/>
                <w:sz w:val="12"/>
                <w:szCs w:val="12"/>
                <w:lang w:val="en-US" w:eastAsia="en-US"/>
              </w:rPr>
              <w:t>NPDCCH</w:t>
            </w:r>
          </w:p>
        </w:tc>
        <w:tc>
          <w:tcPr>
            <w:tcW w:w="281" w:type="dxa"/>
            <w:tcBorders>
              <w:top w:val="nil"/>
              <w:left w:val="nil"/>
              <w:bottom w:val="single" w:sz="8" w:space="0" w:color="auto"/>
              <w:right w:val="single" w:sz="8" w:space="0" w:color="auto"/>
            </w:tcBorders>
            <w:tcMar>
              <w:top w:w="0" w:type="dxa"/>
              <w:left w:w="108" w:type="dxa"/>
              <w:bottom w:w="0" w:type="dxa"/>
              <w:right w:w="108" w:type="dxa"/>
            </w:tcMar>
          </w:tcPr>
          <w:p w14:paraId="3689DB26"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61A8FEEB"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2B486D77"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149C3DE2"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48FEBDCD"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6FC42BE0"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53D41860"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0AB7F937"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4EE05A64"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0FF89D00"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4FABC757"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0C0B333E"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24B994D0"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7E8EA761"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41B840CE"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549AEF62"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56DE668E"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2D113B44"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091B65D7"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7B1E9D2D"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6080D0C4"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48D5CE23" w14:textId="77777777" w:rsidR="00C65383" w:rsidRDefault="00C65383">
            <w:pPr>
              <w:rPr>
                <w:rFonts w:ascii="Calibri" w:hAnsi="Calibri" w:cs="Calibri"/>
                <w:sz w:val="12"/>
                <w:szCs w:val="12"/>
                <w:lang w:val="en-US" w:eastAsia="en-US"/>
              </w:rPr>
            </w:pPr>
          </w:p>
        </w:tc>
        <w:tc>
          <w:tcPr>
            <w:tcW w:w="280" w:type="dxa"/>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hideMark/>
          </w:tcPr>
          <w:p w14:paraId="4D51F3E0" w14:textId="77777777" w:rsidR="00C65383" w:rsidRDefault="00C65383">
            <w:pPr>
              <w:rPr>
                <w:rFonts w:ascii="Calibri" w:hAnsi="Calibri" w:cs="Calibri"/>
                <w:sz w:val="12"/>
                <w:szCs w:val="12"/>
                <w:lang w:val="en-US" w:eastAsia="en-US"/>
              </w:rPr>
            </w:pPr>
            <w:r>
              <w:rPr>
                <w:rFonts w:ascii="Calibri" w:hAnsi="Calibri" w:cs="Calibri"/>
                <w:color w:val="000000"/>
                <w:sz w:val="12"/>
                <w:szCs w:val="12"/>
                <w:lang w:val="en-US" w:eastAsia="en-US"/>
              </w:rPr>
              <w:t>0</w:t>
            </w: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5C05A613"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5FC10E9A"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0C5A12C6"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768EEDD3" w14:textId="77777777" w:rsidR="00C65383" w:rsidRDefault="00C65383">
            <w:pPr>
              <w:rPr>
                <w:rFonts w:ascii="Calibri" w:hAnsi="Calibri" w:cs="Calibri"/>
                <w:sz w:val="12"/>
                <w:szCs w:val="12"/>
                <w:lang w:val="en-US" w:eastAsia="en-US"/>
              </w:rPr>
            </w:pPr>
          </w:p>
        </w:tc>
      </w:tr>
      <w:tr w:rsidR="00C65383" w14:paraId="011E907D" w14:textId="77777777" w:rsidTr="00B32EE3">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38D145" w14:textId="77777777" w:rsidR="00C65383" w:rsidRDefault="00C65383">
            <w:pPr>
              <w:rPr>
                <w:rFonts w:ascii="Calibri" w:hAnsi="Calibri" w:cs="Calibri"/>
                <w:sz w:val="12"/>
                <w:szCs w:val="12"/>
                <w:lang w:val="en-US" w:eastAsia="en-US"/>
              </w:rPr>
            </w:pPr>
            <w:r>
              <w:rPr>
                <w:rFonts w:ascii="Calibri" w:hAnsi="Calibri" w:cs="Calibri"/>
                <w:sz w:val="12"/>
                <w:szCs w:val="12"/>
                <w:lang w:val="en-US" w:eastAsia="en-US"/>
              </w:rPr>
              <w:t>NPDSCH</w:t>
            </w:r>
          </w:p>
        </w:tc>
        <w:tc>
          <w:tcPr>
            <w:tcW w:w="281" w:type="dxa"/>
            <w:tcBorders>
              <w:top w:val="nil"/>
              <w:left w:val="nil"/>
              <w:bottom w:val="single" w:sz="8" w:space="0" w:color="auto"/>
              <w:right w:val="single" w:sz="8" w:space="0" w:color="auto"/>
            </w:tcBorders>
            <w:tcMar>
              <w:top w:w="0" w:type="dxa"/>
              <w:left w:w="108" w:type="dxa"/>
              <w:bottom w:w="0" w:type="dxa"/>
              <w:right w:w="108" w:type="dxa"/>
            </w:tcMar>
          </w:tcPr>
          <w:p w14:paraId="20C122B4"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2C5D16AE"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0A3BC909"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329C1E1C"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2A3BE8B9"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575BBECC"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75B37DC9"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01ED7485"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0D9BC665"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2C16CD63"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01D21E65"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74E4AA7B"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036D2DD2"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0E838285"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6632E8C1"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4A18160B"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19128D59"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77C551A4"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67D9F743"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2FEFBAC1"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1ADC49CB"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1007B5C2"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12D4921F"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7FF65D0A"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295C482A"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54492CBA"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1645C1A0" w14:textId="77777777" w:rsidR="00C65383" w:rsidRDefault="00C65383">
            <w:pPr>
              <w:rPr>
                <w:rFonts w:ascii="Calibri" w:hAnsi="Calibri" w:cs="Calibri"/>
                <w:sz w:val="12"/>
                <w:szCs w:val="12"/>
                <w:lang w:val="en-US" w:eastAsia="en-US"/>
              </w:rPr>
            </w:pPr>
          </w:p>
        </w:tc>
      </w:tr>
      <w:tr w:rsidR="00C65383" w14:paraId="4F71E2A0" w14:textId="77777777" w:rsidTr="00B32EE3">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99C482" w14:textId="77777777" w:rsidR="00C65383" w:rsidRDefault="00C65383">
            <w:pPr>
              <w:rPr>
                <w:rFonts w:ascii="Calibri" w:hAnsi="Calibri" w:cs="Calibri"/>
                <w:sz w:val="12"/>
                <w:szCs w:val="12"/>
                <w:lang w:val="en-US" w:eastAsia="en-US"/>
              </w:rPr>
            </w:pPr>
            <w:r>
              <w:rPr>
                <w:rFonts w:ascii="Calibri" w:hAnsi="Calibri" w:cs="Calibri"/>
                <w:sz w:val="12"/>
                <w:szCs w:val="12"/>
                <w:lang w:val="en-US" w:eastAsia="en-US"/>
              </w:rPr>
              <w:lastRenderedPageBreak/>
              <w:t>NPUSCH Format 2</w:t>
            </w:r>
          </w:p>
        </w:tc>
        <w:tc>
          <w:tcPr>
            <w:tcW w:w="281" w:type="dxa"/>
            <w:tcBorders>
              <w:top w:val="nil"/>
              <w:left w:val="nil"/>
              <w:bottom w:val="single" w:sz="8" w:space="0" w:color="auto"/>
              <w:right w:val="single" w:sz="8" w:space="0" w:color="auto"/>
            </w:tcBorders>
            <w:tcMar>
              <w:top w:w="0" w:type="dxa"/>
              <w:left w:w="108" w:type="dxa"/>
              <w:bottom w:w="0" w:type="dxa"/>
              <w:right w:w="108" w:type="dxa"/>
            </w:tcMar>
          </w:tcPr>
          <w:p w14:paraId="02147271"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65771567"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247D0965"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6BDE28E0"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44D31AA0"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71B152B3"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3ABE906B"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3BB72839"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7C8ED3E4"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0E63D315"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26A58CD8"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3819077F"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3341627D"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6E6C1698"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43ABC678"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2FE9D02C"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37E3F503"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3F3B4370"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5F97073D"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3FFD8A0C"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7CA5D4DC"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00E3E859"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42554B84"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5D3ECEBC"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4D8DE80D"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580C07D3"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6094FFF8" w14:textId="77777777" w:rsidR="00C65383" w:rsidRDefault="00C65383">
            <w:pPr>
              <w:rPr>
                <w:rFonts w:ascii="Calibri" w:hAnsi="Calibri" w:cs="Calibri"/>
                <w:sz w:val="12"/>
                <w:szCs w:val="12"/>
                <w:lang w:val="en-US" w:eastAsia="en-US"/>
              </w:rPr>
            </w:pPr>
          </w:p>
        </w:tc>
      </w:tr>
      <w:tr w:rsidR="00B32EE3" w14:paraId="4DCF4D8D" w14:textId="77777777" w:rsidTr="002D281B">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2290BB" w14:textId="67B12287" w:rsidR="00B32EE3" w:rsidRDefault="00B32EE3" w:rsidP="00B32EE3">
            <w:pPr>
              <w:rPr>
                <w:rFonts w:ascii="Calibri" w:hAnsi="Calibri" w:cs="Calibri"/>
                <w:sz w:val="12"/>
                <w:szCs w:val="12"/>
                <w:lang w:val="en-US" w:eastAsia="en-US"/>
              </w:rPr>
            </w:pPr>
            <w:r>
              <w:rPr>
                <w:rFonts w:ascii="Calibri" w:hAnsi="Calibri" w:cs="Calibri"/>
                <w:sz w:val="12"/>
                <w:szCs w:val="12"/>
                <w:lang w:val="en-US" w:eastAsia="en-US"/>
              </w:rPr>
              <w:t>N</w:t>
            </w:r>
            <w:r w:rsidRPr="00C65383">
              <w:rPr>
                <w:rFonts w:ascii="Calibri" w:hAnsi="Calibri" w:cs="Calibri"/>
                <w:sz w:val="12"/>
                <w:szCs w:val="12"/>
                <w:lang w:val="en-US" w:eastAsia="en-US"/>
              </w:rPr>
              <w:t xml:space="preserve">DPCCH to </w:t>
            </w:r>
            <w:r>
              <w:rPr>
                <w:rFonts w:ascii="Calibri" w:hAnsi="Calibri" w:cs="Calibri"/>
                <w:sz w:val="12"/>
                <w:szCs w:val="12"/>
                <w:lang w:val="en-US" w:eastAsia="en-US"/>
              </w:rPr>
              <w:t>N</w:t>
            </w:r>
            <w:r w:rsidRPr="00C65383">
              <w:rPr>
                <w:rFonts w:ascii="Calibri" w:hAnsi="Calibri" w:cs="Calibri"/>
                <w:sz w:val="12"/>
                <w:szCs w:val="12"/>
                <w:lang w:val="en-US" w:eastAsia="en-US"/>
              </w:rPr>
              <w:t>PDSCH delay</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0174521" w14:textId="77777777" w:rsidR="00B32EE3" w:rsidRDefault="00B32EE3" w:rsidP="00B32EE3">
            <w:pPr>
              <w:rPr>
                <w:rFonts w:ascii="Calibri" w:hAnsi="Calibri" w:cs="Calibri"/>
                <w:sz w:val="12"/>
                <w:szCs w:val="12"/>
                <w:lang w:val="en-US" w:eastAsia="en-US"/>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C3CBBE" w14:textId="77777777" w:rsidR="00B32EE3" w:rsidRDefault="00B32EE3" w:rsidP="00B32EE3">
            <w:pPr>
              <w:rPr>
                <w:rFonts w:ascii="Calibri" w:hAnsi="Calibri" w:cs="Calibri"/>
                <w:sz w:val="12"/>
                <w:szCs w:val="12"/>
                <w:lang w:val="en-US" w:eastAsia="en-US"/>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6C202C" w14:textId="77777777" w:rsidR="00B32EE3" w:rsidRDefault="00B32EE3" w:rsidP="00B32EE3">
            <w:pPr>
              <w:rPr>
                <w:rFonts w:ascii="Calibri" w:hAnsi="Calibri" w:cs="Calibri"/>
                <w:sz w:val="12"/>
                <w:szCs w:val="12"/>
                <w:lang w:val="en-US" w:eastAsia="en-US"/>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1B2442" w14:textId="77777777" w:rsidR="00B32EE3" w:rsidRDefault="00B32EE3" w:rsidP="00B32EE3">
            <w:pPr>
              <w:rPr>
                <w:rFonts w:ascii="Calibri" w:hAnsi="Calibri" w:cs="Calibri"/>
                <w:sz w:val="12"/>
                <w:szCs w:val="12"/>
                <w:lang w:val="en-US" w:eastAsia="en-US"/>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4ABD82" w14:textId="77777777" w:rsidR="00B32EE3" w:rsidRDefault="00B32EE3" w:rsidP="00B32EE3">
            <w:pPr>
              <w:rPr>
                <w:rFonts w:ascii="Calibri" w:hAnsi="Calibri" w:cs="Calibri"/>
                <w:sz w:val="12"/>
                <w:szCs w:val="12"/>
                <w:lang w:val="en-US" w:eastAsia="en-US"/>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5513A6" w14:textId="77777777" w:rsidR="00B32EE3" w:rsidRDefault="00B32EE3" w:rsidP="00B32EE3">
            <w:pPr>
              <w:rPr>
                <w:rFonts w:ascii="Calibri" w:hAnsi="Calibri" w:cs="Calibri"/>
                <w:sz w:val="12"/>
                <w:szCs w:val="12"/>
                <w:lang w:val="en-US" w:eastAsia="en-US"/>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DF7E9A" w14:textId="77777777" w:rsidR="00B32EE3" w:rsidRDefault="00B32EE3" w:rsidP="00B32EE3">
            <w:pPr>
              <w:rPr>
                <w:rFonts w:ascii="Calibri" w:hAnsi="Calibri" w:cs="Calibri"/>
                <w:sz w:val="12"/>
                <w:szCs w:val="12"/>
                <w:lang w:val="en-US" w:eastAsia="en-US"/>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08B5BB" w14:textId="77777777" w:rsidR="00B32EE3" w:rsidRDefault="00B32EE3" w:rsidP="00B32EE3">
            <w:pPr>
              <w:rPr>
                <w:rFonts w:ascii="Calibri" w:hAnsi="Calibri" w:cs="Calibri"/>
                <w:sz w:val="12"/>
                <w:szCs w:val="12"/>
                <w:lang w:val="en-US" w:eastAsia="en-US"/>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30B454" w14:textId="77777777" w:rsidR="00B32EE3" w:rsidRDefault="00B32EE3" w:rsidP="00B32EE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3182DBD9" w14:textId="77777777" w:rsidR="00B32EE3" w:rsidRDefault="00B32EE3" w:rsidP="00B32EE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0438EBCD" w14:textId="77777777" w:rsidR="00B32EE3" w:rsidRDefault="00B32EE3" w:rsidP="00B32EE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16BAD464" w14:textId="77777777" w:rsidR="00B32EE3" w:rsidRDefault="00B32EE3" w:rsidP="00B32EE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1872CDA8" w14:textId="77777777" w:rsidR="00B32EE3" w:rsidRDefault="00B32EE3" w:rsidP="00B32EE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07486AE5" w14:textId="77777777" w:rsidR="00B32EE3" w:rsidRDefault="00B32EE3" w:rsidP="00B32EE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003983E6" w14:textId="77777777" w:rsidR="00B32EE3" w:rsidRDefault="00B32EE3" w:rsidP="00B32EE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3985C494" w14:textId="77777777" w:rsidR="00B32EE3" w:rsidRDefault="00B32EE3" w:rsidP="00B32EE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5BD33A2E" w14:textId="77777777" w:rsidR="00B32EE3" w:rsidRDefault="00B32EE3" w:rsidP="00B32EE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516BEBD3" w14:textId="77777777" w:rsidR="00B32EE3" w:rsidRDefault="00B32EE3" w:rsidP="00B32EE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3442D3D2" w14:textId="77777777" w:rsidR="00B32EE3" w:rsidRDefault="00B32EE3" w:rsidP="00B32EE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02C4F4C9" w14:textId="77777777" w:rsidR="00B32EE3" w:rsidRDefault="00B32EE3" w:rsidP="00B32EE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58EF8029" w14:textId="77777777" w:rsidR="00B32EE3" w:rsidRDefault="00B32EE3" w:rsidP="00B32EE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77148720" w14:textId="77777777" w:rsidR="00B32EE3" w:rsidRDefault="00B32EE3" w:rsidP="00B32EE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6990CC7C" w14:textId="77777777" w:rsidR="00B32EE3" w:rsidRDefault="00B32EE3" w:rsidP="00B32EE3">
            <w:pPr>
              <w:rPr>
                <w:rFonts w:ascii="Calibri" w:hAnsi="Calibri" w:cs="Calibri"/>
                <w:sz w:val="12"/>
                <w:szCs w:val="12"/>
                <w:lang w:val="en-US" w:eastAsia="en-US"/>
              </w:rPr>
            </w:pPr>
          </w:p>
        </w:tc>
        <w:tc>
          <w:tcPr>
            <w:tcW w:w="1120" w:type="dxa"/>
            <w:gridSpan w:val="4"/>
            <w:tcBorders>
              <w:top w:val="nil"/>
              <w:left w:val="nil"/>
              <w:bottom w:val="single" w:sz="8" w:space="0" w:color="auto"/>
              <w:right w:val="single" w:sz="8" w:space="0" w:color="auto"/>
            </w:tcBorders>
            <w:tcMar>
              <w:top w:w="0" w:type="dxa"/>
              <w:left w:w="108" w:type="dxa"/>
              <w:bottom w:w="0" w:type="dxa"/>
              <w:right w:w="108" w:type="dxa"/>
            </w:tcMar>
          </w:tcPr>
          <w:p w14:paraId="2B1B350F" w14:textId="3595DD21" w:rsidR="00B32EE3" w:rsidRDefault="00B32EE3" w:rsidP="00B32EE3">
            <w:pPr>
              <w:jc w:val="center"/>
              <w:rPr>
                <w:rFonts w:ascii="Calibri" w:hAnsi="Calibri" w:cs="Calibri"/>
                <w:sz w:val="12"/>
                <w:szCs w:val="12"/>
                <w:lang w:val="en-US" w:eastAsia="en-US"/>
              </w:rPr>
            </w:pPr>
            <w:r>
              <w:rPr>
                <w:rFonts w:ascii="Calibri" w:hAnsi="Calibri" w:cs="Calibri"/>
                <w:sz w:val="12"/>
                <w:szCs w:val="12"/>
                <w:lang w:val="en-US" w:eastAsia="en-US"/>
              </w:rPr>
              <w:t>4ms</w:t>
            </w:r>
          </w:p>
        </w:tc>
      </w:tr>
      <w:tr w:rsidR="00B32EE3" w14:paraId="3DA6038C" w14:textId="77777777" w:rsidTr="00B32EE3">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BD27F0" w14:textId="11868EE1" w:rsidR="00B32EE3" w:rsidRDefault="00B32EE3" w:rsidP="00B32EE3">
            <w:pPr>
              <w:rPr>
                <w:rFonts w:ascii="Calibri" w:hAnsi="Calibri" w:cs="Calibri"/>
                <w:sz w:val="12"/>
                <w:szCs w:val="12"/>
                <w:lang w:val="en-US" w:eastAsia="en-US"/>
              </w:rPr>
            </w:pPr>
            <w:r>
              <w:rPr>
                <w:rFonts w:ascii="Calibri" w:hAnsi="Calibri" w:cs="Calibri"/>
                <w:sz w:val="12"/>
                <w:szCs w:val="12"/>
                <w:lang w:val="en-US" w:eastAsia="en-US"/>
              </w:rPr>
              <w:t>N</w:t>
            </w:r>
            <w:r w:rsidRPr="00C65383">
              <w:rPr>
                <w:rFonts w:ascii="Calibri" w:hAnsi="Calibri" w:cs="Calibri"/>
                <w:sz w:val="12"/>
                <w:szCs w:val="12"/>
                <w:lang w:val="en-US" w:eastAsia="en-US"/>
              </w:rPr>
              <w:t xml:space="preserve">PDSCH to </w:t>
            </w:r>
            <w:r>
              <w:rPr>
                <w:rFonts w:ascii="Calibri" w:hAnsi="Calibri" w:cs="Calibri"/>
                <w:sz w:val="12"/>
                <w:szCs w:val="12"/>
                <w:lang w:val="en-US" w:eastAsia="en-US"/>
              </w:rPr>
              <w:t>NPUSCH Format 2</w:t>
            </w:r>
            <w:r w:rsidRPr="00C65383">
              <w:rPr>
                <w:rFonts w:ascii="Calibri" w:hAnsi="Calibri" w:cs="Calibri"/>
                <w:sz w:val="12"/>
                <w:szCs w:val="12"/>
                <w:lang w:val="en-US" w:eastAsia="en-US"/>
              </w:rPr>
              <w:t xml:space="preserve"> delay</w:t>
            </w:r>
          </w:p>
        </w:tc>
        <w:tc>
          <w:tcPr>
            <w:tcW w:w="281" w:type="dxa"/>
            <w:tcBorders>
              <w:top w:val="single" w:sz="8" w:space="0" w:color="auto"/>
              <w:left w:val="nil"/>
              <w:bottom w:val="single" w:sz="8" w:space="0" w:color="FF0000"/>
              <w:right w:val="single" w:sz="8" w:space="0" w:color="auto"/>
            </w:tcBorders>
            <w:tcMar>
              <w:top w:w="0" w:type="dxa"/>
              <w:left w:w="108" w:type="dxa"/>
              <w:bottom w:w="0" w:type="dxa"/>
              <w:right w:w="108" w:type="dxa"/>
            </w:tcMar>
          </w:tcPr>
          <w:p w14:paraId="09B1DD3C" w14:textId="77777777" w:rsidR="00B32EE3" w:rsidRDefault="00B32EE3" w:rsidP="00B32EE3">
            <w:pPr>
              <w:rPr>
                <w:rFonts w:ascii="Calibri" w:hAnsi="Calibri" w:cs="Calibri"/>
                <w:sz w:val="12"/>
                <w:szCs w:val="12"/>
                <w:lang w:val="en-US" w:eastAsia="en-US"/>
              </w:rPr>
            </w:pPr>
          </w:p>
        </w:tc>
        <w:tc>
          <w:tcPr>
            <w:tcW w:w="280" w:type="dxa"/>
            <w:tcBorders>
              <w:top w:val="single" w:sz="8" w:space="0" w:color="auto"/>
              <w:left w:val="nil"/>
              <w:bottom w:val="single" w:sz="8" w:space="0" w:color="FF0000"/>
              <w:right w:val="single" w:sz="8" w:space="0" w:color="auto"/>
            </w:tcBorders>
            <w:tcMar>
              <w:top w:w="0" w:type="dxa"/>
              <w:left w:w="108" w:type="dxa"/>
              <w:bottom w:w="0" w:type="dxa"/>
              <w:right w:w="108" w:type="dxa"/>
            </w:tcMar>
          </w:tcPr>
          <w:p w14:paraId="0780FF5F" w14:textId="77777777" w:rsidR="00B32EE3" w:rsidRDefault="00B32EE3" w:rsidP="00B32EE3">
            <w:pPr>
              <w:rPr>
                <w:rFonts w:ascii="Calibri" w:hAnsi="Calibri" w:cs="Calibri"/>
                <w:sz w:val="12"/>
                <w:szCs w:val="12"/>
                <w:lang w:val="en-US" w:eastAsia="en-US"/>
              </w:rPr>
            </w:pPr>
          </w:p>
        </w:tc>
        <w:tc>
          <w:tcPr>
            <w:tcW w:w="280" w:type="dxa"/>
            <w:tcBorders>
              <w:top w:val="single" w:sz="8" w:space="0" w:color="auto"/>
              <w:left w:val="nil"/>
              <w:bottom w:val="single" w:sz="8" w:space="0" w:color="FF0000"/>
              <w:right w:val="single" w:sz="8" w:space="0" w:color="auto"/>
            </w:tcBorders>
            <w:tcMar>
              <w:top w:w="0" w:type="dxa"/>
              <w:left w:w="108" w:type="dxa"/>
              <w:bottom w:w="0" w:type="dxa"/>
              <w:right w:w="108" w:type="dxa"/>
            </w:tcMar>
          </w:tcPr>
          <w:p w14:paraId="7AD1984E" w14:textId="77777777" w:rsidR="00B32EE3" w:rsidRDefault="00B32EE3" w:rsidP="00B32EE3">
            <w:pPr>
              <w:rPr>
                <w:rFonts w:ascii="Calibri" w:hAnsi="Calibri" w:cs="Calibri"/>
                <w:sz w:val="12"/>
                <w:szCs w:val="12"/>
                <w:lang w:val="en-US" w:eastAsia="en-US"/>
              </w:rPr>
            </w:pPr>
          </w:p>
        </w:tc>
        <w:tc>
          <w:tcPr>
            <w:tcW w:w="280" w:type="dxa"/>
            <w:tcBorders>
              <w:top w:val="single" w:sz="8" w:space="0" w:color="auto"/>
              <w:left w:val="nil"/>
              <w:bottom w:val="single" w:sz="8" w:space="0" w:color="FF0000"/>
              <w:right w:val="single" w:sz="8" w:space="0" w:color="auto"/>
            </w:tcBorders>
            <w:tcMar>
              <w:top w:w="0" w:type="dxa"/>
              <w:left w:w="108" w:type="dxa"/>
              <w:bottom w:w="0" w:type="dxa"/>
              <w:right w:w="108" w:type="dxa"/>
            </w:tcMar>
          </w:tcPr>
          <w:p w14:paraId="55CCDC66" w14:textId="77777777" w:rsidR="00B32EE3" w:rsidRDefault="00B32EE3" w:rsidP="00B32EE3">
            <w:pPr>
              <w:rPr>
                <w:rFonts w:ascii="Calibri" w:hAnsi="Calibri" w:cs="Calibri"/>
                <w:sz w:val="12"/>
                <w:szCs w:val="12"/>
                <w:lang w:val="en-US" w:eastAsia="en-US"/>
              </w:rPr>
            </w:pPr>
          </w:p>
        </w:tc>
        <w:tc>
          <w:tcPr>
            <w:tcW w:w="280" w:type="dxa"/>
            <w:tcBorders>
              <w:top w:val="single" w:sz="8" w:space="0" w:color="auto"/>
              <w:left w:val="nil"/>
              <w:bottom w:val="single" w:sz="8" w:space="0" w:color="FF0000"/>
              <w:right w:val="single" w:sz="8" w:space="0" w:color="auto"/>
            </w:tcBorders>
            <w:tcMar>
              <w:top w:w="0" w:type="dxa"/>
              <w:left w:w="108" w:type="dxa"/>
              <w:bottom w:w="0" w:type="dxa"/>
              <w:right w:w="108" w:type="dxa"/>
            </w:tcMar>
          </w:tcPr>
          <w:p w14:paraId="2F301CD5" w14:textId="77777777" w:rsidR="00B32EE3" w:rsidRDefault="00B32EE3" w:rsidP="00B32EE3">
            <w:pPr>
              <w:rPr>
                <w:rFonts w:ascii="Calibri" w:hAnsi="Calibri" w:cs="Calibri"/>
                <w:sz w:val="12"/>
                <w:szCs w:val="12"/>
                <w:lang w:val="en-US" w:eastAsia="en-US"/>
              </w:rPr>
            </w:pPr>
          </w:p>
        </w:tc>
        <w:tc>
          <w:tcPr>
            <w:tcW w:w="280" w:type="dxa"/>
            <w:tcBorders>
              <w:top w:val="single" w:sz="8" w:space="0" w:color="auto"/>
              <w:left w:val="nil"/>
              <w:bottom w:val="single" w:sz="8" w:space="0" w:color="FF0000"/>
              <w:right w:val="single" w:sz="8" w:space="0" w:color="auto"/>
            </w:tcBorders>
            <w:tcMar>
              <w:top w:w="0" w:type="dxa"/>
              <w:left w:w="108" w:type="dxa"/>
              <w:bottom w:w="0" w:type="dxa"/>
              <w:right w:w="108" w:type="dxa"/>
            </w:tcMar>
          </w:tcPr>
          <w:p w14:paraId="63CEE0CF" w14:textId="77777777" w:rsidR="00B32EE3" w:rsidRDefault="00B32EE3" w:rsidP="00B32EE3">
            <w:pPr>
              <w:rPr>
                <w:rFonts w:ascii="Calibri" w:hAnsi="Calibri" w:cs="Calibri"/>
                <w:sz w:val="12"/>
                <w:szCs w:val="12"/>
                <w:lang w:val="en-US" w:eastAsia="en-US"/>
              </w:rPr>
            </w:pPr>
          </w:p>
        </w:tc>
        <w:tc>
          <w:tcPr>
            <w:tcW w:w="280" w:type="dxa"/>
            <w:tcBorders>
              <w:top w:val="single" w:sz="8" w:space="0" w:color="auto"/>
              <w:left w:val="nil"/>
              <w:bottom w:val="single" w:sz="8" w:space="0" w:color="FF0000"/>
              <w:right w:val="single" w:sz="8" w:space="0" w:color="auto"/>
            </w:tcBorders>
            <w:tcMar>
              <w:top w:w="0" w:type="dxa"/>
              <w:left w:w="108" w:type="dxa"/>
              <w:bottom w:w="0" w:type="dxa"/>
              <w:right w:w="108" w:type="dxa"/>
            </w:tcMar>
          </w:tcPr>
          <w:p w14:paraId="12933F57" w14:textId="77777777" w:rsidR="00B32EE3" w:rsidRDefault="00B32EE3" w:rsidP="00B32EE3">
            <w:pPr>
              <w:rPr>
                <w:rFonts w:ascii="Calibri" w:hAnsi="Calibri" w:cs="Calibri"/>
                <w:sz w:val="12"/>
                <w:szCs w:val="12"/>
                <w:lang w:val="en-US" w:eastAsia="en-US"/>
              </w:rPr>
            </w:pPr>
          </w:p>
        </w:tc>
        <w:tc>
          <w:tcPr>
            <w:tcW w:w="280" w:type="dxa"/>
            <w:tcBorders>
              <w:top w:val="single" w:sz="8" w:space="0" w:color="auto"/>
              <w:left w:val="nil"/>
              <w:bottom w:val="single" w:sz="8" w:space="0" w:color="FF0000"/>
              <w:right w:val="single" w:sz="8" w:space="0" w:color="auto"/>
            </w:tcBorders>
            <w:tcMar>
              <w:top w:w="0" w:type="dxa"/>
              <w:left w:w="108" w:type="dxa"/>
              <w:bottom w:w="0" w:type="dxa"/>
              <w:right w:w="108" w:type="dxa"/>
            </w:tcMar>
          </w:tcPr>
          <w:p w14:paraId="35F1B3CA" w14:textId="77777777" w:rsidR="00B32EE3" w:rsidRDefault="00B32EE3" w:rsidP="00B32EE3">
            <w:pPr>
              <w:rPr>
                <w:rFonts w:ascii="Calibri" w:hAnsi="Calibri" w:cs="Calibri"/>
                <w:sz w:val="12"/>
                <w:szCs w:val="12"/>
                <w:lang w:val="en-US" w:eastAsia="en-US"/>
              </w:rPr>
            </w:pPr>
          </w:p>
        </w:tc>
        <w:tc>
          <w:tcPr>
            <w:tcW w:w="280" w:type="dxa"/>
            <w:tcBorders>
              <w:top w:val="single" w:sz="8" w:space="0" w:color="auto"/>
              <w:left w:val="nil"/>
              <w:bottom w:val="single" w:sz="8" w:space="0" w:color="FF0000"/>
              <w:right w:val="single" w:sz="8" w:space="0" w:color="auto"/>
            </w:tcBorders>
            <w:tcMar>
              <w:top w:w="0" w:type="dxa"/>
              <w:left w:w="108" w:type="dxa"/>
              <w:bottom w:w="0" w:type="dxa"/>
              <w:right w:w="108" w:type="dxa"/>
            </w:tcMar>
          </w:tcPr>
          <w:p w14:paraId="148B154B" w14:textId="77777777" w:rsidR="00B32EE3" w:rsidRDefault="00B32EE3" w:rsidP="00B32EE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36BC879B" w14:textId="77777777" w:rsidR="00B32EE3" w:rsidRDefault="00B32EE3" w:rsidP="00B32EE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79AB2956" w14:textId="77777777" w:rsidR="00B32EE3" w:rsidRDefault="00B32EE3" w:rsidP="00B32EE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365DB4E4" w14:textId="77777777" w:rsidR="00B32EE3" w:rsidRDefault="00B32EE3" w:rsidP="00B32EE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43F150FD" w14:textId="77777777" w:rsidR="00B32EE3" w:rsidRDefault="00B32EE3" w:rsidP="00B32EE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1BBCE2AA" w14:textId="77777777" w:rsidR="00B32EE3" w:rsidRDefault="00B32EE3" w:rsidP="00B32EE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385044B0" w14:textId="77777777" w:rsidR="00B32EE3" w:rsidRDefault="00B32EE3" w:rsidP="00B32EE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7A67DEDD" w14:textId="77777777" w:rsidR="00B32EE3" w:rsidRDefault="00B32EE3" w:rsidP="00B32EE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7DDDB6B2" w14:textId="77777777" w:rsidR="00B32EE3" w:rsidRDefault="00B32EE3" w:rsidP="00B32EE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3DB6D8F4" w14:textId="77777777" w:rsidR="00B32EE3" w:rsidRDefault="00B32EE3" w:rsidP="00B32EE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2AADE015" w14:textId="77777777" w:rsidR="00B32EE3" w:rsidRDefault="00B32EE3" w:rsidP="00B32EE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6B7A5E7E" w14:textId="77777777" w:rsidR="00B32EE3" w:rsidRDefault="00B32EE3" w:rsidP="00B32EE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5087F1F2" w14:textId="77777777" w:rsidR="00B32EE3" w:rsidRDefault="00B32EE3" w:rsidP="00B32EE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0A59B998" w14:textId="77777777" w:rsidR="00B32EE3" w:rsidRDefault="00B32EE3" w:rsidP="00B32EE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2F31A62E" w14:textId="77777777" w:rsidR="00B32EE3" w:rsidRDefault="00B32EE3" w:rsidP="00B32EE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1EC101C3" w14:textId="77777777" w:rsidR="00B32EE3" w:rsidRDefault="00B32EE3" w:rsidP="00B32EE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6D6D6184" w14:textId="77777777" w:rsidR="00B32EE3" w:rsidRDefault="00B32EE3" w:rsidP="00B32EE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1842F054" w14:textId="77777777" w:rsidR="00B32EE3" w:rsidRDefault="00B32EE3" w:rsidP="00B32EE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5B0A853B" w14:textId="77777777" w:rsidR="00B32EE3" w:rsidRDefault="00B32EE3" w:rsidP="00B32EE3">
            <w:pPr>
              <w:rPr>
                <w:rFonts w:ascii="Calibri" w:hAnsi="Calibri" w:cs="Calibri"/>
                <w:sz w:val="12"/>
                <w:szCs w:val="12"/>
                <w:lang w:val="en-US" w:eastAsia="en-US"/>
              </w:rPr>
            </w:pPr>
          </w:p>
        </w:tc>
      </w:tr>
      <w:tr w:rsidR="00C65383" w14:paraId="4D2F6D73" w14:textId="77777777" w:rsidTr="00B32EE3">
        <w:tc>
          <w:tcPr>
            <w:tcW w:w="814" w:type="dxa"/>
            <w:tcBorders>
              <w:top w:val="nil"/>
              <w:left w:val="single" w:sz="8" w:space="0" w:color="auto"/>
              <w:bottom w:val="single" w:sz="8" w:space="0" w:color="auto"/>
              <w:right w:val="single" w:sz="8" w:space="0" w:color="FF0000"/>
            </w:tcBorders>
            <w:tcMar>
              <w:top w:w="0" w:type="dxa"/>
              <w:left w:w="108" w:type="dxa"/>
              <w:bottom w:w="0" w:type="dxa"/>
              <w:right w:w="108" w:type="dxa"/>
            </w:tcMar>
            <w:hideMark/>
          </w:tcPr>
          <w:p w14:paraId="5F100531" w14:textId="77777777" w:rsidR="00C65383" w:rsidRDefault="00C65383">
            <w:pPr>
              <w:rPr>
                <w:rFonts w:ascii="Calibri" w:hAnsi="Calibri" w:cs="Calibri"/>
                <w:sz w:val="12"/>
                <w:szCs w:val="12"/>
                <w:lang w:val="en-US" w:eastAsia="en-US"/>
              </w:rPr>
            </w:pPr>
            <w:r>
              <w:rPr>
                <w:rFonts w:ascii="Calibri" w:hAnsi="Calibri" w:cs="Calibri"/>
                <w:color w:val="FF0000"/>
                <w:sz w:val="12"/>
                <w:szCs w:val="12"/>
              </w:rPr>
              <w:t>Propagation delay in UL direction</w:t>
            </w:r>
          </w:p>
        </w:tc>
        <w:tc>
          <w:tcPr>
            <w:tcW w:w="2521" w:type="dxa"/>
            <w:gridSpan w:val="9"/>
            <w:tcBorders>
              <w:top w:val="nil"/>
              <w:left w:val="nil"/>
              <w:bottom w:val="single" w:sz="8" w:space="0" w:color="FF0000"/>
              <w:right w:val="single" w:sz="8" w:space="0" w:color="FF0000"/>
            </w:tcBorders>
            <w:tcMar>
              <w:top w:w="0" w:type="dxa"/>
              <w:left w:w="108" w:type="dxa"/>
              <w:bottom w:w="0" w:type="dxa"/>
              <w:right w:w="108" w:type="dxa"/>
            </w:tcMar>
            <w:hideMark/>
          </w:tcPr>
          <w:p w14:paraId="04A40651" w14:textId="77777777" w:rsidR="00C65383" w:rsidRDefault="00C65383">
            <w:pPr>
              <w:pStyle w:val="ListParagraph"/>
              <w:rPr>
                <w:rFonts w:cs="Calibri"/>
                <w:color w:val="FF0000"/>
                <w:sz w:val="12"/>
                <w:szCs w:val="12"/>
              </w:rPr>
            </w:pPr>
            <w:r>
              <w:rPr>
                <w:rFonts w:cs="Calibri"/>
                <w:color w:val="FF0000"/>
                <w:sz w:val="12"/>
                <w:szCs w:val="12"/>
              </w:rPr>
              <w:t>Delay at min elevation/2 = 26ms/2 = 13ms</w:t>
            </w:r>
          </w:p>
        </w:tc>
        <w:tc>
          <w:tcPr>
            <w:tcW w:w="280" w:type="dxa"/>
            <w:tcBorders>
              <w:top w:val="nil"/>
              <w:left w:val="nil"/>
              <w:bottom w:val="single" w:sz="8" w:space="0" w:color="FF0000"/>
              <w:right w:val="single" w:sz="8" w:space="0" w:color="auto"/>
            </w:tcBorders>
            <w:tcMar>
              <w:top w:w="0" w:type="dxa"/>
              <w:left w:w="108" w:type="dxa"/>
              <w:bottom w:w="0" w:type="dxa"/>
              <w:right w:w="108" w:type="dxa"/>
            </w:tcMar>
          </w:tcPr>
          <w:p w14:paraId="2392F8EA"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FF0000"/>
              <w:right w:val="single" w:sz="8" w:space="0" w:color="auto"/>
            </w:tcBorders>
            <w:tcMar>
              <w:top w:w="0" w:type="dxa"/>
              <w:left w:w="108" w:type="dxa"/>
              <w:bottom w:w="0" w:type="dxa"/>
              <w:right w:w="108" w:type="dxa"/>
            </w:tcMar>
          </w:tcPr>
          <w:p w14:paraId="5863F848"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FF0000"/>
              <w:right w:val="single" w:sz="8" w:space="0" w:color="auto"/>
            </w:tcBorders>
            <w:tcMar>
              <w:top w:w="0" w:type="dxa"/>
              <w:left w:w="108" w:type="dxa"/>
              <w:bottom w:w="0" w:type="dxa"/>
              <w:right w:w="108" w:type="dxa"/>
            </w:tcMar>
          </w:tcPr>
          <w:p w14:paraId="0E38C2BE"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FF0000"/>
              <w:right w:val="single" w:sz="8" w:space="0" w:color="auto"/>
            </w:tcBorders>
            <w:tcMar>
              <w:top w:w="0" w:type="dxa"/>
              <w:left w:w="108" w:type="dxa"/>
              <w:bottom w:w="0" w:type="dxa"/>
              <w:right w:w="108" w:type="dxa"/>
            </w:tcMar>
          </w:tcPr>
          <w:p w14:paraId="3293ABAC"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FF0000"/>
              <w:right w:val="single" w:sz="8" w:space="0" w:color="auto"/>
            </w:tcBorders>
            <w:tcMar>
              <w:top w:w="0" w:type="dxa"/>
              <w:left w:w="108" w:type="dxa"/>
              <w:bottom w:w="0" w:type="dxa"/>
              <w:right w:w="108" w:type="dxa"/>
            </w:tcMar>
          </w:tcPr>
          <w:p w14:paraId="662DA53F"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FF0000"/>
              <w:right w:val="single" w:sz="8" w:space="0" w:color="auto"/>
            </w:tcBorders>
            <w:tcMar>
              <w:top w:w="0" w:type="dxa"/>
              <w:left w:w="108" w:type="dxa"/>
              <w:bottom w:w="0" w:type="dxa"/>
              <w:right w:w="108" w:type="dxa"/>
            </w:tcMar>
          </w:tcPr>
          <w:p w14:paraId="002951D5"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FF0000"/>
              <w:right w:val="single" w:sz="8" w:space="0" w:color="auto"/>
            </w:tcBorders>
            <w:tcMar>
              <w:top w:w="0" w:type="dxa"/>
              <w:left w:w="108" w:type="dxa"/>
              <w:bottom w:w="0" w:type="dxa"/>
              <w:right w:w="108" w:type="dxa"/>
            </w:tcMar>
          </w:tcPr>
          <w:p w14:paraId="4C351A17"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FF0000"/>
              <w:right w:val="single" w:sz="8" w:space="0" w:color="auto"/>
            </w:tcBorders>
            <w:tcMar>
              <w:top w:w="0" w:type="dxa"/>
              <w:left w:w="108" w:type="dxa"/>
              <w:bottom w:w="0" w:type="dxa"/>
              <w:right w:w="108" w:type="dxa"/>
            </w:tcMar>
          </w:tcPr>
          <w:p w14:paraId="2C36C9A9"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FF0000"/>
              <w:right w:val="single" w:sz="8" w:space="0" w:color="auto"/>
            </w:tcBorders>
            <w:tcMar>
              <w:top w:w="0" w:type="dxa"/>
              <w:left w:w="108" w:type="dxa"/>
              <w:bottom w:w="0" w:type="dxa"/>
              <w:right w:w="108" w:type="dxa"/>
            </w:tcMar>
          </w:tcPr>
          <w:p w14:paraId="4CE3306F"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FF0000"/>
              <w:right w:val="single" w:sz="8" w:space="0" w:color="auto"/>
            </w:tcBorders>
            <w:tcMar>
              <w:top w:w="0" w:type="dxa"/>
              <w:left w:w="108" w:type="dxa"/>
              <w:bottom w:w="0" w:type="dxa"/>
              <w:right w:w="108" w:type="dxa"/>
            </w:tcMar>
          </w:tcPr>
          <w:p w14:paraId="42C5FC93"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FF0000"/>
              <w:right w:val="single" w:sz="8" w:space="0" w:color="auto"/>
            </w:tcBorders>
            <w:tcMar>
              <w:top w:w="0" w:type="dxa"/>
              <w:left w:w="108" w:type="dxa"/>
              <w:bottom w:w="0" w:type="dxa"/>
              <w:right w:w="108" w:type="dxa"/>
            </w:tcMar>
          </w:tcPr>
          <w:p w14:paraId="40775C9C"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FF0000"/>
              <w:right w:val="single" w:sz="8" w:space="0" w:color="auto"/>
            </w:tcBorders>
            <w:tcMar>
              <w:top w:w="0" w:type="dxa"/>
              <w:left w:w="108" w:type="dxa"/>
              <w:bottom w:w="0" w:type="dxa"/>
              <w:right w:w="108" w:type="dxa"/>
            </w:tcMar>
          </w:tcPr>
          <w:p w14:paraId="3E2891E8"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FF0000"/>
              <w:right w:val="single" w:sz="8" w:space="0" w:color="auto"/>
            </w:tcBorders>
            <w:tcMar>
              <w:top w:w="0" w:type="dxa"/>
              <w:left w:w="108" w:type="dxa"/>
              <w:bottom w:w="0" w:type="dxa"/>
              <w:right w:w="108" w:type="dxa"/>
            </w:tcMar>
          </w:tcPr>
          <w:p w14:paraId="357244D4"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7BC740CB"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260DAC66"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759B9A3F"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6D7950E1"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6220BA74" w14:textId="77777777" w:rsidR="00C65383" w:rsidRDefault="00C65383">
            <w:pPr>
              <w:rPr>
                <w:rFonts w:ascii="Calibri" w:hAnsi="Calibri" w:cs="Calibri"/>
                <w:sz w:val="12"/>
                <w:szCs w:val="12"/>
                <w:lang w:val="en-US" w:eastAsia="en-US"/>
              </w:rPr>
            </w:pPr>
          </w:p>
        </w:tc>
      </w:tr>
      <w:tr w:rsidR="00C65383" w14:paraId="0B415826" w14:textId="77777777" w:rsidTr="00B32EE3">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86AB9F" w14:textId="77777777" w:rsidR="00C65383" w:rsidRDefault="00C65383">
            <w:pPr>
              <w:rPr>
                <w:rFonts w:ascii="Calibri" w:hAnsi="Calibri" w:cs="Calibri"/>
                <w:sz w:val="12"/>
                <w:szCs w:val="12"/>
                <w:lang w:val="en-US" w:eastAsia="en-US"/>
              </w:rPr>
            </w:pPr>
            <w:r>
              <w:rPr>
                <w:rFonts w:ascii="Calibri" w:hAnsi="Calibri" w:cs="Calibri"/>
                <w:color w:val="FF0000"/>
                <w:sz w:val="12"/>
                <w:szCs w:val="12"/>
              </w:rPr>
              <w:t xml:space="preserve">Propagation delay in </w:t>
            </w:r>
            <w:r>
              <w:rPr>
                <w:rFonts w:ascii="Calibri" w:hAnsi="Calibri" w:cs="Calibri"/>
                <w:color w:val="FF0000"/>
                <w:sz w:val="12"/>
                <w:szCs w:val="12"/>
                <w:lang w:val="en-US"/>
              </w:rPr>
              <w:t>D</w:t>
            </w:r>
            <w:r>
              <w:rPr>
                <w:rFonts w:ascii="Calibri" w:hAnsi="Calibri" w:cs="Calibri"/>
                <w:color w:val="FF0000"/>
                <w:sz w:val="12"/>
                <w:szCs w:val="12"/>
              </w:rPr>
              <w:t>L direction</w:t>
            </w:r>
          </w:p>
        </w:tc>
        <w:tc>
          <w:tcPr>
            <w:tcW w:w="281" w:type="dxa"/>
            <w:tcBorders>
              <w:top w:val="nil"/>
              <w:left w:val="nil"/>
              <w:bottom w:val="single" w:sz="8" w:space="0" w:color="auto"/>
              <w:right w:val="single" w:sz="8" w:space="0" w:color="auto"/>
            </w:tcBorders>
            <w:tcMar>
              <w:top w:w="0" w:type="dxa"/>
              <w:left w:w="108" w:type="dxa"/>
              <w:bottom w:w="0" w:type="dxa"/>
              <w:right w:w="108" w:type="dxa"/>
            </w:tcMar>
          </w:tcPr>
          <w:p w14:paraId="5C72BA3E"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385FC14E"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4C878C93"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0728C8EF"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42B13105"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22B26F80"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326C3D72"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7D7DFDE0"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FF0000"/>
            </w:tcBorders>
            <w:tcMar>
              <w:top w:w="0" w:type="dxa"/>
              <w:left w:w="108" w:type="dxa"/>
              <w:bottom w:w="0" w:type="dxa"/>
              <w:right w:w="108" w:type="dxa"/>
            </w:tcMar>
          </w:tcPr>
          <w:p w14:paraId="658174CE" w14:textId="77777777" w:rsidR="00C65383" w:rsidRDefault="00C65383">
            <w:pPr>
              <w:rPr>
                <w:rFonts w:ascii="Calibri" w:hAnsi="Calibri" w:cs="Calibri"/>
                <w:sz w:val="12"/>
                <w:szCs w:val="12"/>
                <w:lang w:val="en-US" w:eastAsia="en-US"/>
              </w:rPr>
            </w:pPr>
          </w:p>
        </w:tc>
        <w:tc>
          <w:tcPr>
            <w:tcW w:w="3640" w:type="dxa"/>
            <w:gridSpan w:val="13"/>
            <w:tcBorders>
              <w:top w:val="nil"/>
              <w:left w:val="nil"/>
              <w:bottom w:val="single" w:sz="8" w:space="0" w:color="FF0000"/>
              <w:right w:val="single" w:sz="8" w:space="0" w:color="FF0000"/>
            </w:tcBorders>
            <w:tcMar>
              <w:top w:w="0" w:type="dxa"/>
              <w:left w:w="108" w:type="dxa"/>
              <w:bottom w:w="0" w:type="dxa"/>
              <w:right w:w="108" w:type="dxa"/>
            </w:tcMar>
            <w:hideMark/>
          </w:tcPr>
          <w:p w14:paraId="326AFB8C" w14:textId="77777777" w:rsidR="00C65383" w:rsidRDefault="00C65383">
            <w:pPr>
              <w:jc w:val="center"/>
              <w:rPr>
                <w:rFonts w:ascii="Calibri" w:hAnsi="Calibri" w:cs="Calibri"/>
                <w:sz w:val="12"/>
                <w:szCs w:val="12"/>
                <w:lang w:val="en-US" w:eastAsia="en-US"/>
              </w:rPr>
            </w:pPr>
            <w:r>
              <w:rPr>
                <w:rFonts w:ascii="Calibri" w:hAnsi="Calibri" w:cs="Calibri"/>
                <w:color w:val="FF0000"/>
                <w:sz w:val="12"/>
                <w:szCs w:val="12"/>
              </w:rPr>
              <w:t>Delay at min elevation/2 = 26ms/2 = 13ms</w:t>
            </w: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4D40F53D"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500CF4A9"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1C12C685"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1756AEF7" w14:textId="77777777" w:rsidR="00C65383" w:rsidRDefault="00C65383">
            <w:pPr>
              <w:rPr>
                <w:rFonts w:ascii="Calibri" w:hAnsi="Calibri" w:cs="Calibri"/>
                <w:sz w:val="12"/>
                <w:szCs w:val="12"/>
                <w:lang w:val="en-US" w:eastAsia="en-US"/>
              </w:rPr>
            </w:pPr>
          </w:p>
        </w:tc>
        <w:tc>
          <w:tcPr>
            <w:tcW w:w="280" w:type="dxa"/>
            <w:tcBorders>
              <w:top w:val="nil"/>
              <w:left w:val="nil"/>
              <w:bottom w:val="single" w:sz="8" w:space="0" w:color="auto"/>
              <w:right w:val="single" w:sz="8" w:space="0" w:color="auto"/>
            </w:tcBorders>
            <w:tcMar>
              <w:top w:w="0" w:type="dxa"/>
              <w:left w:w="108" w:type="dxa"/>
              <w:bottom w:w="0" w:type="dxa"/>
              <w:right w:w="108" w:type="dxa"/>
            </w:tcMar>
          </w:tcPr>
          <w:p w14:paraId="7382FA9E" w14:textId="77777777" w:rsidR="00C65383" w:rsidRDefault="00C65383">
            <w:pPr>
              <w:rPr>
                <w:rFonts w:ascii="Calibri" w:hAnsi="Calibri" w:cs="Calibri"/>
                <w:sz w:val="12"/>
                <w:szCs w:val="12"/>
                <w:lang w:val="en-US" w:eastAsia="en-US"/>
              </w:rPr>
            </w:pPr>
          </w:p>
        </w:tc>
      </w:tr>
    </w:tbl>
    <w:p w14:paraId="64DF5F00" w14:textId="77777777" w:rsidR="00E4014C" w:rsidRDefault="00E4014C" w:rsidP="00E4014C">
      <w:pPr>
        <w:ind w:left="720"/>
        <w:rPr>
          <w:rFonts w:ascii="Calibri" w:eastAsiaTheme="minorHAnsi" w:hAnsi="Calibri" w:cs="Calibri"/>
          <w:sz w:val="22"/>
          <w:szCs w:val="22"/>
          <w:lang w:val="en-US"/>
        </w:rPr>
      </w:pPr>
    </w:p>
    <w:p w14:paraId="0616EAE6" w14:textId="00810B35" w:rsidR="007F4881" w:rsidRDefault="007F4881" w:rsidP="007F4881">
      <w:pPr>
        <w:pStyle w:val="BodyText"/>
        <w:rPr>
          <w:rFonts w:ascii="Times New Roman" w:hAnsi="Times New Roman"/>
          <w:lang w:eastAsia="ja-JP"/>
        </w:rPr>
      </w:pPr>
      <w:r w:rsidRPr="007A209F">
        <w:rPr>
          <w:rFonts w:ascii="Times New Roman" w:hAnsi="Times New Roman"/>
          <w:lang w:eastAsia="ja-JP"/>
        </w:rPr>
        <w:t xml:space="preserve">In Table </w:t>
      </w:r>
      <w:r>
        <w:rPr>
          <w:rFonts w:ascii="Times New Roman" w:hAnsi="Times New Roman"/>
          <w:lang w:eastAsia="ja-JP"/>
        </w:rPr>
        <w:t>A2.1</w:t>
      </w:r>
      <w:r w:rsidRPr="007A209F">
        <w:rPr>
          <w:rFonts w:ascii="Times New Roman" w:hAnsi="Times New Roman"/>
          <w:lang w:eastAsia="ja-JP"/>
        </w:rPr>
        <w:t xml:space="preserve">, </w:t>
      </w:r>
      <w:r>
        <w:rPr>
          <w:rFonts w:ascii="Times New Roman" w:hAnsi="Times New Roman"/>
          <w:lang w:eastAsia="ja-JP"/>
        </w:rPr>
        <w:t>N</w:t>
      </w:r>
      <w:r w:rsidRPr="007A209F">
        <w:rPr>
          <w:rFonts w:ascii="Times New Roman" w:hAnsi="Times New Roman"/>
          <w:lang w:eastAsia="ja-JP"/>
        </w:rPr>
        <w:t xml:space="preserve">PDCCH#0 and </w:t>
      </w:r>
      <w:r>
        <w:rPr>
          <w:rFonts w:ascii="Times New Roman" w:hAnsi="Times New Roman"/>
          <w:lang w:eastAsia="ja-JP"/>
        </w:rPr>
        <w:t>N</w:t>
      </w:r>
      <w:r w:rsidRPr="007A209F">
        <w:rPr>
          <w:rFonts w:ascii="Times New Roman" w:hAnsi="Times New Roman"/>
          <w:lang w:eastAsia="ja-JP"/>
        </w:rPr>
        <w:t xml:space="preserve">PDSCH#0 refer to the control channel and corresponding user data associated to HARQ Process #0. </w:t>
      </w:r>
      <w:r>
        <w:rPr>
          <w:rFonts w:ascii="Times New Roman" w:hAnsi="Times New Roman"/>
          <w:lang w:eastAsia="ja-JP"/>
        </w:rPr>
        <w:t>NPUSCH Format 2</w:t>
      </w:r>
      <w:r w:rsidRPr="007A209F">
        <w:rPr>
          <w:rFonts w:ascii="Times New Roman" w:hAnsi="Times New Roman"/>
          <w:lang w:eastAsia="ja-JP"/>
        </w:rPr>
        <w:t xml:space="preserve"> #0</w:t>
      </w:r>
      <w:r>
        <w:rPr>
          <w:rFonts w:ascii="Times New Roman" w:hAnsi="Times New Roman"/>
          <w:lang w:eastAsia="ja-JP"/>
        </w:rPr>
        <w:t xml:space="preserve"> starting in </w:t>
      </w:r>
      <w:r w:rsidRPr="007A209F">
        <w:rPr>
          <w:rFonts w:ascii="Times New Roman" w:hAnsi="Times New Roman"/>
          <w:lang w:eastAsia="ja-JP"/>
        </w:rPr>
        <w:t>Subframe#</w:t>
      </w:r>
      <w:r>
        <w:rPr>
          <w:rFonts w:ascii="Times New Roman" w:hAnsi="Times New Roman"/>
          <w:lang w:eastAsia="ja-JP"/>
        </w:rPr>
        <w:t>27</w:t>
      </w:r>
      <w:r w:rsidRPr="007A209F">
        <w:rPr>
          <w:rFonts w:ascii="Times New Roman" w:hAnsi="Times New Roman"/>
          <w:lang w:eastAsia="ja-JP"/>
        </w:rPr>
        <w:t xml:space="preserve"> </w:t>
      </w:r>
      <w:r>
        <w:rPr>
          <w:rFonts w:ascii="Times New Roman" w:hAnsi="Times New Roman"/>
          <w:lang w:eastAsia="ja-JP"/>
        </w:rPr>
        <w:t>is used to transmit the</w:t>
      </w:r>
      <w:r w:rsidRPr="007A209F">
        <w:rPr>
          <w:rFonts w:ascii="Times New Roman" w:hAnsi="Times New Roman"/>
          <w:lang w:eastAsia="ja-JP"/>
        </w:rPr>
        <w:t xml:space="preserve"> ACK/NACK associated to HARQ process</w:t>
      </w:r>
      <w:r>
        <w:rPr>
          <w:rFonts w:ascii="Times New Roman" w:hAnsi="Times New Roman"/>
          <w:lang w:eastAsia="ja-JP"/>
        </w:rPr>
        <w:t xml:space="preserve"> #0.</w:t>
      </w:r>
    </w:p>
    <w:p w14:paraId="383E1EA5" w14:textId="6CD33514" w:rsidR="007F4881" w:rsidRDefault="007F4881" w:rsidP="007F4881">
      <w:pPr>
        <w:pStyle w:val="Reference"/>
        <w:numPr>
          <w:ilvl w:val="0"/>
          <w:numId w:val="0"/>
        </w:numPr>
        <w:rPr>
          <w:rFonts w:ascii="Times New Roman" w:hAnsi="Times New Roman"/>
        </w:rPr>
      </w:pPr>
      <w:r>
        <w:rPr>
          <w:rFonts w:ascii="Times New Roman" w:hAnsi="Times New Roman"/>
        </w:rPr>
        <w:t>On the other hand, T</w:t>
      </w:r>
      <w:r w:rsidRPr="007E5A61">
        <w:rPr>
          <w:rFonts w:ascii="Times New Roman" w:hAnsi="Times New Roman"/>
        </w:rPr>
        <w:t>able A</w:t>
      </w:r>
      <w:r>
        <w:rPr>
          <w:rFonts w:ascii="Times New Roman" w:hAnsi="Times New Roman"/>
        </w:rPr>
        <w:t>2.2</w:t>
      </w:r>
      <w:r w:rsidRPr="007E5A61">
        <w:rPr>
          <w:rFonts w:ascii="Times New Roman" w:hAnsi="Times New Roman"/>
        </w:rPr>
        <w:t xml:space="preserve"> illustrates the </w:t>
      </w:r>
      <w:r>
        <w:rPr>
          <w:rFonts w:ascii="Times New Roman" w:hAnsi="Times New Roman"/>
        </w:rPr>
        <w:t>legacy processing delays of a t</w:t>
      </w:r>
      <w:r w:rsidRPr="007E5A61">
        <w:rPr>
          <w:rFonts w:ascii="Times New Roman" w:hAnsi="Times New Roman"/>
        </w:rPr>
        <w:t xml:space="preserve">ransmission </w:t>
      </w:r>
      <w:r>
        <w:rPr>
          <w:rFonts w:ascii="Times New Roman" w:hAnsi="Times New Roman"/>
        </w:rPr>
        <w:t>corresponding to</w:t>
      </w:r>
      <w:r w:rsidRPr="007E5A61">
        <w:rPr>
          <w:rFonts w:ascii="Times New Roman" w:hAnsi="Times New Roman"/>
        </w:rPr>
        <w:t xml:space="preserve"> one HARQ process </w:t>
      </w:r>
      <w:r>
        <w:rPr>
          <w:rFonts w:ascii="Times New Roman" w:hAnsi="Times New Roman"/>
        </w:rPr>
        <w:t>disabling</w:t>
      </w:r>
      <w:r w:rsidRPr="007E5A61">
        <w:rPr>
          <w:rFonts w:ascii="Times New Roman" w:hAnsi="Times New Roman"/>
        </w:rPr>
        <w:t xml:space="preserve"> HARQ feedback for </w:t>
      </w:r>
      <w:r>
        <w:rPr>
          <w:rFonts w:ascii="Times New Roman" w:hAnsi="Times New Roman"/>
        </w:rPr>
        <w:t xml:space="preserve">a </w:t>
      </w:r>
      <w:r w:rsidR="003B13D5" w:rsidRPr="003B13D5">
        <w:rPr>
          <w:rFonts w:ascii="Times New Roman" w:hAnsi="Times New Roman"/>
        </w:rPr>
        <w:t>Cat-NB2 UE</w:t>
      </w:r>
      <w:r>
        <w:rPr>
          <w:rFonts w:ascii="Times New Roman" w:hAnsi="Times New Roman"/>
        </w:rPr>
        <w:t xml:space="preserve">, where </w:t>
      </w:r>
      <w:r w:rsidR="003B13D5">
        <w:rPr>
          <w:rFonts w:ascii="Times New Roman" w:hAnsi="Times New Roman"/>
        </w:rPr>
        <w:t>NPUSCH Format 2</w:t>
      </w:r>
      <w:r>
        <w:rPr>
          <w:rFonts w:ascii="Times New Roman" w:hAnsi="Times New Roman"/>
        </w:rPr>
        <w:t xml:space="preserve"> is not transmitted and where the </w:t>
      </w:r>
      <w:r w:rsidRPr="00091734">
        <w:rPr>
          <w:rFonts w:ascii="Times New Roman" w:hAnsi="Times New Roman"/>
        </w:rPr>
        <w:t xml:space="preserve">earliest the DL monitoring </w:t>
      </w:r>
      <w:r>
        <w:rPr>
          <w:rFonts w:ascii="Times New Roman" w:hAnsi="Times New Roman"/>
        </w:rPr>
        <w:t>starts is</w:t>
      </w:r>
      <w:r w:rsidRPr="00091734">
        <w:rPr>
          <w:rFonts w:ascii="Times New Roman" w:hAnsi="Times New Roman"/>
        </w:rPr>
        <w:t xml:space="preserve"> at the subframe at which </w:t>
      </w:r>
      <w:r w:rsidR="003B13D5">
        <w:rPr>
          <w:rFonts w:ascii="Times New Roman" w:hAnsi="Times New Roman"/>
        </w:rPr>
        <w:t>NPUSCH Format 2</w:t>
      </w:r>
      <w:r w:rsidRPr="00091734">
        <w:rPr>
          <w:rFonts w:ascii="Times New Roman" w:hAnsi="Times New Roman"/>
        </w:rPr>
        <w:t xml:space="preserve"> would be otherwise transmitted (i.e., preserving for sufficient PDSCH decoding time, at least a </w:t>
      </w:r>
      <w:r w:rsidR="003B13D5">
        <w:rPr>
          <w:rFonts w:ascii="Times New Roman" w:hAnsi="Times New Roman"/>
        </w:rPr>
        <w:t>12</w:t>
      </w:r>
      <w:r w:rsidRPr="00091734">
        <w:rPr>
          <w:rFonts w:ascii="Times New Roman" w:hAnsi="Times New Roman"/>
        </w:rPr>
        <w:t xml:space="preserve"> </w:t>
      </w:r>
      <w:proofErr w:type="spellStart"/>
      <w:r w:rsidRPr="00091734">
        <w:rPr>
          <w:rFonts w:ascii="Times New Roman" w:hAnsi="Times New Roman"/>
        </w:rPr>
        <w:t>ms</w:t>
      </w:r>
      <w:proofErr w:type="spellEnd"/>
      <w:r w:rsidRPr="00091734">
        <w:rPr>
          <w:rFonts w:ascii="Times New Roman" w:hAnsi="Times New Roman"/>
        </w:rPr>
        <w:t xml:space="preserve"> delay between the end of PDSCH and the start of the DL monitoring)</w:t>
      </w:r>
      <w:r w:rsidR="00B32EE3">
        <w:rPr>
          <w:rFonts w:ascii="Times New Roman" w:hAnsi="Times New Roman"/>
        </w:rPr>
        <w:t>.</w:t>
      </w:r>
    </w:p>
    <w:p w14:paraId="053904B4" w14:textId="77777777" w:rsidR="003B13D5" w:rsidRPr="00A87D48" w:rsidRDefault="003B13D5" w:rsidP="003B13D5">
      <w:pPr>
        <w:pStyle w:val="BodyText"/>
        <w:jc w:val="center"/>
        <w:rPr>
          <w:rFonts w:ascii="Times New Roman" w:hAnsi="Times New Roman"/>
          <w:sz w:val="16"/>
          <w:szCs w:val="16"/>
          <w:lang w:eastAsia="ja-JP"/>
        </w:rPr>
      </w:pPr>
      <w:r w:rsidRPr="00A87D48">
        <w:rPr>
          <w:rFonts w:ascii="Times New Roman" w:hAnsi="Times New Roman"/>
          <w:sz w:val="16"/>
          <w:szCs w:val="16"/>
          <w:lang w:eastAsia="ja-JP"/>
        </w:rPr>
        <w:t xml:space="preserve">Table </w:t>
      </w:r>
      <w:r>
        <w:rPr>
          <w:rFonts w:ascii="Times New Roman" w:hAnsi="Times New Roman"/>
          <w:sz w:val="16"/>
          <w:szCs w:val="16"/>
          <w:lang w:eastAsia="ja-JP"/>
        </w:rPr>
        <w:t>A2.2</w:t>
      </w:r>
      <w:r w:rsidRPr="00A87D48">
        <w:rPr>
          <w:rFonts w:ascii="Times New Roman" w:hAnsi="Times New Roman"/>
          <w:sz w:val="16"/>
          <w:szCs w:val="16"/>
          <w:lang w:eastAsia="ja-JP"/>
        </w:rPr>
        <w:t xml:space="preserve">: </w:t>
      </w:r>
      <w:r>
        <w:rPr>
          <w:rFonts w:ascii="Times New Roman" w:hAnsi="Times New Roman"/>
          <w:sz w:val="16"/>
          <w:szCs w:val="16"/>
          <w:lang w:eastAsia="ja-JP"/>
        </w:rPr>
        <w:t>Transmission of one HARQ process disabling</w:t>
      </w:r>
      <w:r w:rsidRPr="00A87D48">
        <w:rPr>
          <w:rFonts w:ascii="Times New Roman" w:hAnsi="Times New Roman"/>
          <w:sz w:val="16"/>
          <w:szCs w:val="16"/>
          <w:lang w:eastAsia="ja-JP"/>
        </w:rPr>
        <w:t xml:space="preserve"> </w:t>
      </w:r>
      <w:r>
        <w:rPr>
          <w:rFonts w:ascii="Times New Roman" w:hAnsi="Times New Roman"/>
          <w:sz w:val="16"/>
          <w:szCs w:val="16"/>
          <w:lang w:eastAsia="ja-JP"/>
        </w:rPr>
        <w:t xml:space="preserve">HARQ feedback enabled </w:t>
      </w:r>
      <w:r w:rsidRPr="00A87D48">
        <w:rPr>
          <w:rFonts w:ascii="Times New Roman" w:hAnsi="Times New Roman"/>
          <w:sz w:val="16"/>
          <w:szCs w:val="16"/>
          <w:lang w:eastAsia="ja-JP"/>
        </w:rPr>
        <w:t xml:space="preserve">for a </w:t>
      </w:r>
      <w:r w:rsidRPr="006A54A2">
        <w:rPr>
          <w:rFonts w:ascii="Times New Roman" w:hAnsi="Times New Roman"/>
          <w:sz w:val="16"/>
          <w:szCs w:val="16"/>
          <w:lang w:eastAsia="ja-JP"/>
        </w:rPr>
        <w:t>Cat-NB2 UE</w:t>
      </w:r>
      <w:r>
        <w:rPr>
          <w:rFonts w:ascii="Times New Roman" w:hAnsi="Times New Roman"/>
          <w:sz w:val="16"/>
          <w:szCs w:val="16"/>
          <w:lang w:eastAsia="ja-JP"/>
        </w:rPr>
        <w:t xml:space="preserve">, </w:t>
      </w:r>
      <w:r w:rsidRPr="00FB7EC9">
        <w:rPr>
          <w:rFonts w:ascii="Times New Roman" w:hAnsi="Times New Roman"/>
          <w:sz w:val="16"/>
          <w:szCs w:val="16"/>
          <w:lang w:eastAsia="ja-JP"/>
        </w:rPr>
        <w:t xml:space="preserve">where PUCCH is not transmitted and where the earliest the DL monitoring starts </w:t>
      </w:r>
      <w:r>
        <w:rPr>
          <w:rFonts w:ascii="Times New Roman" w:hAnsi="Times New Roman"/>
          <w:sz w:val="16"/>
          <w:szCs w:val="16"/>
          <w:lang w:eastAsia="ja-JP"/>
        </w:rPr>
        <w:t xml:space="preserve">is </w:t>
      </w:r>
      <w:r w:rsidRPr="00FB7EC9">
        <w:rPr>
          <w:rFonts w:ascii="Times New Roman" w:hAnsi="Times New Roman"/>
          <w:sz w:val="16"/>
          <w:szCs w:val="16"/>
          <w:lang w:eastAsia="ja-JP"/>
        </w:rPr>
        <w:t>at the subframe at which PUCCH would be otherwise transmitted</w:t>
      </w:r>
      <w:r w:rsidRPr="00A87D48">
        <w:rPr>
          <w:rFonts w:ascii="Times New Roman" w:hAnsi="Times New Roman"/>
          <w:sz w:val="16"/>
          <w:szCs w:val="16"/>
          <w:lang w:eastAsia="ja-JP"/>
        </w:rPr>
        <w:t>.</w:t>
      </w:r>
    </w:p>
    <w:tbl>
      <w:tblPr>
        <w:tblW w:w="10048" w:type="dxa"/>
        <w:tblInd w:w="-294" w:type="dxa"/>
        <w:tblCellMar>
          <w:left w:w="0" w:type="dxa"/>
          <w:right w:w="0" w:type="dxa"/>
        </w:tblCellMar>
        <w:tblLook w:val="04A0" w:firstRow="1" w:lastRow="0" w:firstColumn="1" w:lastColumn="0" w:noHBand="0" w:noVBand="1"/>
      </w:tblPr>
      <w:tblGrid>
        <w:gridCol w:w="815"/>
        <w:gridCol w:w="277"/>
        <w:gridCol w:w="277"/>
        <w:gridCol w:w="277"/>
        <w:gridCol w:w="277"/>
        <w:gridCol w:w="277"/>
        <w:gridCol w:w="284"/>
        <w:gridCol w:w="285"/>
        <w:gridCol w:w="284"/>
        <w:gridCol w:w="285"/>
        <w:gridCol w:w="284"/>
        <w:gridCol w:w="338"/>
        <w:gridCol w:w="340"/>
        <w:gridCol w:w="340"/>
        <w:gridCol w:w="338"/>
        <w:gridCol w:w="338"/>
        <w:gridCol w:w="338"/>
        <w:gridCol w:w="338"/>
        <w:gridCol w:w="338"/>
        <w:gridCol w:w="338"/>
        <w:gridCol w:w="338"/>
        <w:gridCol w:w="338"/>
        <w:gridCol w:w="338"/>
        <w:gridCol w:w="338"/>
        <w:gridCol w:w="338"/>
        <w:gridCol w:w="338"/>
        <w:gridCol w:w="338"/>
        <w:gridCol w:w="338"/>
        <w:gridCol w:w="338"/>
        <w:gridCol w:w="338"/>
      </w:tblGrid>
      <w:tr w:rsidR="00B32EE3" w14:paraId="31B02ECF" w14:textId="77777777" w:rsidTr="00AA2345">
        <w:tc>
          <w:tcPr>
            <w:tcW w:w="8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F2AE9A" w14:textId="77777777" w:rsidR="00B32EE3" w:rsidRDefault="00B32EE3">
            <w:pPr>
              <w:rPr>
                <w:rFonts w:ascii="Calibri" w:hAnsi="Calibri" w:cs="Calibri"/>
                <w:sz w:val="22"/>
                <w:szCs w:val="22"/>
                <w:lang w:val="en-US"/>
              </w:rPr>
            </w:pPr>
            <w:r>
              <w:rPr>
                <w:rFonts w:ascii="Calibri" w:hAnsi="Calibri" w:cs="Calibri"/>
                <w:sz w:val="12"/>
                <w:szCs w:val="12"/>
                <w:lang w:val="en-US" w:eastAsia="en-US"/>
              </w:rPr>
              <w:t>Subframe#</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2103B6" w14:textId="77777777" w:rsidR="00B32EE3" w:rsidRDefault="00B32EE3">
            <w:pPr>
              <w:rPr>
                <w:rFonts w:ascii="Calibri" w:hAnsi="Calibri" w:cs="Calibri"/>
                <w:sz w:val="22"/>
                <w:szCs w:val="22"/>
                <w:lang w:val="en-US"/>
              </w:rPr>
            </w:pPr>
            <w:r>
              <w:rPr>
                <w:rFonts w:ascii="Calibri" w:hAnsi="Calibri" w:cs="Calibri"/>
                <w:sz w:val="12"/>
                <w:szCs w:val="12"/>
                <w:lang w:val="en-US" w:eastAsia="en-US"/>
              </w:rPr>
              <w:t>0</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985F0B" w14:textId="77777777" w:rsidR="00B32EE3" w:rsidRDefault="00B32EE3">
            <w:pPr>
              <w:rPr>
                <w:rFonts w:ascii="Calibri" w:hAnsi="Calibri" w:cs="Calibri"/>
                <w:sz w:val="22"/>
                <w:szCs w:val="22"/>
                <w:lang w:val="en-US"/>
              </w:rPr>
            </w:pPr>
            <w:r>
              <w:rPr>
                <w:rFonts w:ascii="Calibri" w:hAnsi="Calibri" w:cs="Calibri"/>
                <w:sz w:val="12"/>
                <w:szCs w:val="12"/>
                <w:lang w:val="en-US" w:eastAsia="en-US"/>
              </w:rPr>
              <w:t>1</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8301A2" w14:textId="77777777" w:rsidR="00B32EE3" w:rsidRDefault="00B32EE3">
            <w:pPr>
              <w:rPr>
                <w:rFonts w:ascii="Calibri" w:hAnsi="Calibri" w:cs="Calibri"/>
                <w:sz w:val="22"/>
                <w:szCs w:val="22"/>
                <w:lang w:val="en-US"/>
              </w:rPr>
            </w:pPr>
            <w:r>
              <w:rPr>
                <w:rFonts w:ascii="Calibri" w:hAnsi="Calibri" w:cs="Calibri"/>
                <w:sz w:val="12"/>
                <w:szCs w:val="12"/>
                <w:lang w:val="en-US" w:eastAsia="en-US"/>
              </w:rPr>
              <w:t>2</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E29F7C" w14:textId="77777777" w:rsidR="00B32EE3" w:rsidRDefault="00B32EE3">
            <w:pPr>
              <w:rPr>
                <w:rFonts w:ascii="Calibri" w:hAnsi="Calibri" w:cs="Calibri"/>
                <w:sz w:val="22"/>
                <w:szCs w:val="22"/>
                <w:lang w:val="en-US"/>
              </w:rPr>
            </w:pPr>
            <w:r>
              <w:rPr>
                <w:rFonts w:ascii="Calibri" w:hAnsi="Calibri" w:cs="Calibri"/>
                <w:sz w:val="12"/>
                <w:szCs w:val="12"/>
                <w:lang w:val="en-US" w:eastAsia="en-US"/>
              </w:rPr>
              <w:t>3</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0D26CC" w14:textId="77777777" w:rsidR="00B32EE3" w:rsidRDefault="00B32EE3">
            <w:pPr>
              <w:rPr>
                <w:rFonts w:ascii="Calibri" w:hAnsi="Calibri" w:cs="Calibri"/>
                <w:sz w:val="22"/>
                <w:szCs w:val="22"/>
                <w:lang w:val="en-US"/>
              </w:rPr>
            </w:pPr>
            <w:r>
              <w:rPr>
                <w:rFonts w:ascii="Calibri" w:hAnsi="Calibri" w:cs="Calibri"/>
                <w:sz w:val="12"/>
                <w:szCs w:val="12"/>
                <w:lang w:val="en-US" w:eastAsia="en-US"/>
              </w:rPr>
              <w:t>4</w:t>
            </w: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963647" w14:textId="77777777" w:rsidR="00B32EE3" w:rsidRDefault="00B32EE3">
            <w:pPr>
              <w:rPr>
                <w:rFonts w:ascii="Calibri" w:hAnsi="Calibri" w:cs="Calibri"/>
                <w:sz w:val="22"/>
                <w:szCs w:val="22"/>
                <w:lang w:val="en-US"/>
              </w:rPr>
            </w:pPr>
            <w:r>
              <w:rPr>
                <w:rFonts w:ascii="Calibri" w:hAnsi="Calibri" w:cs="Calibri"/>
                <w:sz w:val="12"/>
                <w:szCs w:val="12"/>
                <w:lang w:val="en-US" w:eastAsia="en-US"/>
              </w:rPr>
              <w:t>5</w:t>
            </w:r>
          </w:p>
        </w:tc>
        <w:tc>
          <w:tcPr>
            <w:tcW w:w="2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AD174A" w14:textId="77777777" w:rsidR="00B32EE3" w:rsidRDefault="00B32EE3">
            <w:pPr>
              <w:rPr>
                <w:rFonts w:ascii="Calibri" w:hAnsi="Calibri" w:cs="Calibri"/>
                <w:sz w:val="22"/>
                <w:szCs w:val="22"/>
                <w:lang w:val="en-US"/>
              </w:rPr>
            </w:pPr>
            <w:r>
              <w:rPr>
                <w:rFonts w:ascii="Calibri" w:hAnsi="Calibri" w:cs="Calibri"/>
                <w:sz w:val="12"/>
                <w:szCs w:val="12"/>
                <w:lang w:val="en-US" w:eastAsia="en-US"/>
              </w:rPr>
              <w:t>6</w:t>
            </w: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632F07" w14:textId="77777777" w:rsidR="00B32EE3" w:rsidRDefault="00B32EE3">
            <w:pPr>
              <w:rPr>
                <w:rFonts w:ascii="Calibri" w:hAnsi="Calibri" w:cs="Calibri"/>
                <w:sz w:val="22"/>
                <w:szCs w:val="22"/>
                <w:lang w:val="en-US"/>
              </w:rPr>
            </w:pPr>
            <w:r>
              <w:rPr>
                <w:rFonts w:ascii="Calibri" w:hAnsi="Calibri" w:cs="Calibri"/>
                <w:sz w:val="12"/>
                <w:szCs w:val="12"/>
                <w:lang w:val="en-US" w:eastAsia="en-US"/>
              </w:rPr>
              <w:t>7</w:t>
            </w:r>
          </w:p>
        </w:tc>
        <w:tc>
          <w:tcPr>
            <w:tcW w:w="2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0FDB68" w14:textId="77777777" w:rsidR="00B32EE3" w:rsidRDefault="00B32EE3">
            <w:pPr>
              <w:rPr>
                <w:rFonts w:ascii="Calibri" w:hAnsi="Calibri" w:cs="Calibri"/>
                <w:sz w:val="22"/>
                <w:szCs w:val="22"/>
                <w:lang w:val="en-US"/>
              </w:rPr>
            </w:pPr>
            <w:r>
              <w:rPr>
                <w:rFonts w:ascii="Calibri" w:hAnsi="Calibri" w:cs="Calibri"/>
                <w:sz w:val="12"/>
                <w:szCs w:val="12"/>
                <w:lang w:val="en-US" w:eastAsia="en-US"/>
              </w:rPr>
              <w:t>8</w:t>
            </w: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612A00" w14:textId="77777777" w:rsidR="00B32EE3" w:rsidRDefault="00B32EE3">
            <w:pPr>
              <w:rPr>
                <w:rFonts w:ascii="Calibri" w:hAnsi="Calibri" w:cs="Calibri"/>
                <w:sz w:val="22"/>
                <w:szCs w:val="22"/>
                <w:lang w:val="en-US"/>
              </w:rPr>
            </w:pPr>
            <w:r>
              <w:rPr>
                <w:rFonts w:ascii="Calibri" w:hAnsi="Calibri" w:cs="Calibri"/>
                <w:sz w:val="12"/>
                <w:szCs w:val="12"/>
                <w:lang w:val="en-US" w:eastAsia="en-US"/>
              </w:rPr>
              <w:t>9</w:t>
            </w:r>
          </w:p>
        </w:tc>
        <w:tc>
          <w:tcPr>
            <w:tcW w:w="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9540B4" w14:textId="77777777" w:rsidR="00B32EE3" w:rsidRDefault="00B32EE3">
            <w:pPr>
              <w:rPr>
                <w:rFonts w:ascii="Calibri" w:hAnsi="Calibri" w:cs="Calibri"/>
                <w:sz w:val="22"/>
                <w:szCs w:val="22"/>
                <w:lang w:val="en-US"/>
              </w:rPr>
            </w:pPr>
            <w:r>
              <w:rPr>
                <w:rFonts w:ascii="Calibri" w:hAnsi="Calibri" w:cs="Calibri"/>
                <w:sz w:val="12"/>
                <w:szCs w:val="12"/>
                <w:lang w:val="en-US" w:eastAsia="en-US"/>
              </w:rPr>
              <w:t>10</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E0193A" w14:textId="77777777" w:rsidR="00B32EE3" w:rsidRDefault="00B32EE3">
            <w:pPr>
              <w:rPr>
                <w:rFonts w:ascii="Calibri" w:hAnsi="Calibri" w:cs="Calibri"/>
                <w:sz w:val="22"/>
                <w:szCs w:val="22"/>
                <w:lang w:val="en-US"/>
              </w:rPr>
            </w:pPr>
            <w:r>
              <w:rPr>
                <w:rFonts w:ascii="Calibri" w:hAnsi="Calibri" w:cs="Calibri"/>
                <w:sz w:val="12"/>
                <w:szCs w:val="12"/>
                <w:lang w:val="en-US" w:eastAsia="en-US"/>
              </w:rPr>
              <w:t>11</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3485C3" w14:textId="77777777" w:rsidR="00B32EE3" w:rsidRDefault="00B32EE3">
            <w:pPr>
              <w:rPr>
                <w:rFonts w:ascii="Calibri" w:hAnsi="Calibri" w:cs="Calibri"/>
                <w:sz w:val="22"/>
                <w:szCs w:val="22"/>
                <w:lang w:val="en-US"/>
              </w:rPr>
            </w:pPr>
            <w:r>
              <w:rPr>
                <w:rFonts w:ascii="Calibri" w:hAnsi="Calibri" w:cs="Calibri"/>
                <w:sz w:val="12"/>
                <w:szCs w:val="12"/>
                <w:lang w:val="en-US" w:eastAsia="en-US"/>
              </w:rPr>
              <w:t>12</w:t>
            </w:r>
          </w:p>
        </w:tc>
        <w:tc>
          <w:tcPr>
            <w:tcW w:w="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FC4C74" w14:textId="77777777" w:rsidR="00B32EE3" w:rsidRDefault="00B32EE3">
            <w:pPr>
              <w:rPr>
                <w:rFonts w:ascii="Calibri" w:hAnsi="Calibri" w:cs="Calibri"/>
                <w:sz w:val="22"/>
                <w:szCs w:val="22"/>
                <w:lang w:val="en-US"/>
              </w:rPr>
            </w:pPr>
            <w:r>
              <w:rPr>
                <w:rFonts w:ascii="Calibri" w:hAnsi="Calibri" w:cs="Calibri"/>
                <w:sz w:val="12"/>
                <w:szCs w:val="12"/>
                <w:lang w:val="en-US" w:eastAsia="en-US"/>
              </w:rPr>
              <w:t>13</w:t>
            </w:r>
          </w:p>
        </w:tc>
        <w:tc>
          <w:tcPr>
            <w:tcW w:w="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0DC3F8" w14:textId="77777777" w:rsidR="00B32EE3" w:rsidRDefault="00B32EE3">
            <w:pPr>
              <w:rPr>
                <w:rFonts w:ascii="Calibri" w:hAnsi="Calibri" w:cs="Calibri"/>
                <w:sz w:val="22"/>
                <w:szCs w:val="22"/>
                <w:lang w:val="en-US"/>
              </w:rPr>
            </w:pPr>
            <w:r>
              <w:rPr>
                <w:rFonts w:ascii="Calibri" w:hAnsi="Calibri" w:cs="Calibri"/>
                <w:sz w:val="12"/>
                <w:szCs w:val="12"/>
                <w:lang w:val="en-US" w:eastAsia="en-US"/>
              </w:rPr>
              <w:t>14</w:t>
            </w:r>
          </w:p>
        </w:tc>
        <w:tc>
          <w:tcPr>
            <w:tcW w:w="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240C63" w14:textId="77777777" w:rsidR="00B32EE3" w:rsidRDefault="00B32EE3">
            <w:pPr>
              <w:rPr>
                <w:rFonts w:ascii="Calibri" w:hAnsi="Calibri" w:cs="Calibri"/>
                <w:sz w:val="22"/>
                <w:szCs w:val="22"/>
                <w:lang w:val="en-US"/>
              </w:rPr>
            </w:pPr>
            <w:r>
              <w:rPr>
                <w:rFonts w:ascii="Calibri" w:hAnsi="Calibri" w:cs="Calibri"/>
                <w:sz w:val="12"/>
                <w:szCs w:val="12"/>
                <w:lang w:val="en-US" w:eastAsia="en-US"/>
              </w:rPr>
              <w:t>15</w:t>
            </w:r>
          </w:p>
        </w:tc>
        <w:tc>
          <w:tcPr>
            <w:tcW w:w="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FBFF37" w14:textId="77777777" w:rsidR="00B32EE3" w:rsidRDefault="00B32EE3">
            <w:pPr>
              <w:rPr>
                <w:rFonts w:ascii="Calibri" w:hAnsi="Calibri" w:cs="Calibri"/>
                <w:sz w:val="22"/>
                <w:szCs w:val="22"/>
                <w:lang w:val="en-US"/>
              </w:rPr>
            </w:pPr>
            <w:r>
              <w:rPr>
                <w:rFonts w:ascii="Calibri" w:hAnsi="Calibri" w:cs="Calibri"/>
                <w:sz w:val="12"/>
                <w:szCs w:val="12"/>
                <w:lang w:val="en-US" w:eastAsia="en-US"/>
              </w:rPr>
              <w:t>16</w:t>
            </w:r>
          </w:p>
        </w:tc>
        <w:tc>
          <w:tcPr>
            <w:tcW w:w="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7AC53B" w14:textId="77777777" w:rsidR="00B32EE3" w:rsidRDefault="00B32EE3">
            <w:pPr>
              <w:rPr>
                <w:rFonts w:ascii="Calibri" w:hAnsi="Calibri" w:cs="Calibri"/>
                <w:sz w:val="22"/>
                <w:szCs w:val="22"/>
                <w:lang w:val="en-US"/>
              </w:rPr>
            </w:pPr>
            <w:r>
              <w:rPr>
                <w:rFonts w:ascii="Calibri" w:hAnsi="Calibri" w:cs="Calibri"/>
                <w:sz w:val="12"/>
                <w:szCs w:val="12"/>
                <w:lang w:val="en-US" w:eastAsia="en-US"/>
              </w:rPr>
              <w:t>17</w:t>
            </w:r>
          </w:p>
        </w:tc>
        <w:tc>
          <w:tcPr>
            <w:tcW w:w="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ED69FC" w14:textId="77777777" w:rsidR="00B32EE3" w:rsidRDefault="00B32EE3">
            <w:pPr>
              <w:rPr>
                <w:rFonts w:ascii="Calibri" w:hAnsi="Calibri" w:cs="Calibri"/>
                <w:sz w:val="22"/>
                <w:szCs w:val="22"/>
                <w:lang w:val="en-US"/>
              </w:rPr>
            </w:pPr>
            <w:r>
              <w:rPr>
                <w:rFonts w:ascii="Calibri" w:hAnsi="Calibri" w:cs="Calibri"/>
                <w:sz w:val="12"/>
                <w:szCs w:val="12"/>
                <w:lang w:val="en-US" w:eastAsia="en-US"/>
              </w:rPr>
              <w:t>18</w:t>
            </w:r>
          </w:p>
        </w:tc>
        <w:tc>
          <w:tcPr>
            <w:tcW w:w="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07C4A2" w14:textId="77777777" w:rsidR="00B32EE3" w:rsidRDefault="00B32EE3">
            <w:pPr>
              <w:rPr>
                <w:rFonts w:ascii="Calibri" w:hAnsi="Calibri" w:cs="Calibri"/>
                <w:sz w:val="22"/>
                <w:szCs w:val="22"/>
                <w:lang w:val="en-US"/>
              </w:rPr>
            </w:pPr>
            <w:r>
              <w:rPr>
                <w:rFonts w:ascii="Calibri" w:hAnsi="Calibri" w:cs="Calibri"/>
                <w:sz w:val="12"/>
                <w:szCs w:val="12"/>
                <w:lang w:val="en-US" w:eastAsia="en-US"/>
              </w:rPr>
              <w:t>19</w:t>
            </w:r>
          </w:p>
        </w:tc>
        <w:tc>
          <w:tcPr>
            <w:tcW w:w="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0F5DC3" w14:textId="77777777" w:rsidR="00B32EE3" w:rsidRDefault="00B32EE3">
            <w:pPr>
              <w:rPr>
                <w:rFonts w:ascii="Calibri" w:hAnsi="Calibri" w:cs="Calibri"/>
                <w:sz w:val="22"/>
                <w:szCs w:val="22"/>
                <w:lang w:val="en-US"/>
              </w:rPr>
            </w:pPr>
            <w:r>
              <w:rPr>
                <w:rFonts w:ascii="Calibri" w:hAnsi="Calibri" w:cs="Calibri"/>
                <w:sz w:val="12"/>
                <w:szCs w:val="12"/>
                <w:lang w:val="en-US" w:eastAsia="en-US"/>
              </w:rPr>
              <w:t>20</w:t>
            </w:r>
          </w:p>
        </w:tc>
        <w:tc>
          <w:tcPr>
            <w:tcW w:w="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8CAC52" w14:textId="77777777" w:rsidR="00B32EE3" w:rsidRDefault="00B32EE3">
            <w:pPr>
              <w:rPr>
                <w:rFonts w:ascii="Calibri" w:hAnsi="Calibri" w:cs="Calibri"/>
                <w:sz w:val="22"/>
                <w:szCs w:val="22"/>
                <w:lang w:val="en-US"/>
              </w:rPr>
            </w:pPr>
            <w:r>
              <w:rPr>
                <w:rFonts w:ascii="Calibri" w:hAnsi="Calibri" w:cs="Calibri"/>
                <w:sz w:val="12"/>
                <w:szCs w:val="12"/>
                <w:lang w:val="en-US" w:eastAsia="en-US"/>
              </w:rPr>
              <w:t>21</w:t>
            </w:r>
          </w:p>
        </w:tc>
        <w:tc>
          <w:tcPr>
            <w:tcW w:w="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BBC59E" w14:textId="77777777" w:rsidR="00B32EE3" w:rsidRDefault="00B32EE3">
            <w:pPr>
              <w:rPr>
                <w:rFonts w:ascii="Calibri" w:hAnsi="Calibri" w:cs="Calibri"/>
                <w:sz w:val="22"/>
                <w:szCs w:val="22"/>
                <w:lang w:val="en-US"/>
              </w:rPr>
            </w:pPr>
            <w:r>
              <w:rPr>
                <w:rFonts w:ascii="Calibri" w:hAnsi="Calibri" w:cs="Calibri"/>
                <w:sz w:val="12"/>
                <w:szCs w:val="12"/>
                <w:lang w:val="en-US" w:eastAsia="en-US"/>
              </w:rPr>
              <w:t>22</w:t>
            </w:r>
          </w:p>
        </w:tc>
        <w:tc>
          <w:tcPr>
            <w:tcW w:w="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992AAC" w14:textId="77777777" w:rsidR="00B32EE3" w:rsidRDefault="00B32EE3">
            <w:pPr>
              <w:rPr>
                <w:rFonts w:ascii="Calibri" w:hAnsi="Calibri" w:cs="Calibri"/>
                <w:sz w:val="22"/>
                <w:szCs w:val="22"/>
                <w:lang w:val="en-US"/>
              </w:rPr>
            </w:pPr>
            <w:r>
              <w:rPr>
                <w:rFonts w:ascii="Calibri" w:hAnsi="Calibri" w:cs="Calibri"/>
                <w:sz w:val="12"/>
                <w:szCs w:val="12"/>
                <w:lang w:val="en-US" w:eastAsia="en-US"/>
              </w:rPr>
              <w:t>23</w:t>
            </w:r>
          </w:p>
        </w:tc>
        <w:tc>
          <w:tcPr>
            <w:tcW w:w="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06CE04" w14:textId="77777777" w:rsidR="00B32EE3" w:rsidRDefault="00B32EE3">
            <w:pPr>
              <w:rPr>
                <w:rFonts w:ascii="Calibri" w:hAnsi="Calibri" w:cs="Calibri"/>
                <w:sz w:val="22"/>
                <w:szCs w:val="22"/>
                <w:lang w:val="en-US"/>
              </w:rPr>
            </w:pPr>
            <w:r>
              <w:rPr>
                <w:rFonts w:ascii="Calibri" w:hAnsi="Calibri" w:cs="Calibri"/>
                <w:sz w:val="12"/>
                <w:szCs w:val="12"/>
                <w:lang w:val="en-US" w:eastAsia="en-US"/>
              </w:rPr>
              <w:t>24</w:t>
            </w:r>
          </w:p>
        </w:tc>
        <w:tc>
          <w:tcPr>
            <w:tcW w:w="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1A5EDF" w14:textId="77777777" w:rsidR="00B32EE3" w:rsidRDefault="00B32EE3">
            <w:pPr>
              <w:rPr>
                <w:rFonts w:ascii="Calibri" w:hAnsi="Calibri" w:cs="Calibri"/>
                <w:sz w:val="22"/>
                <w:szCs w:val="22"/>
                <w:lang w:val="en-US"/>
              </w:rPr>
            </w:pPr>
            <w:r>
              <w:rPr>
                <w:rFonts w:ascii="Calibri" w:hAnsi="Calibri" w:cs="Calibri"/>
                <w:sz w:val="12"/>
                <w:szCs w:val="12"/>
                <w:lang w:val="en-US" w:eastAsia="en-US"/>
              </w:rPr>
              <w:t>25</w:t>
            </w:r>
          </w:p>
        </w:tc>
        <w:tc>
          <w:tcPr>
            <w:tcW w:w="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B66EC0" w14:textId="77777777" w:rsidR="00B32EE3" w:rsidRDefault="00B32EE3">
            <w:pPr>
              <w:rPr>
                <w:rFonts w:ascii="Calibri" w:hAnsi="Calibri" w:cs="Calibri"/>
                <w:sz w:val="22"/>
                <w:szCs w:val="22"/>
                <w:lang w:val="en-US"/>
              </w:rPr>
            </w:pPr>
            <w:r>
              <w:rPr>
                <w:rFonts w:ascii="Calibri" w:hAnsi="Calibri" w:cs="Calibri"/>
                <w:sz w:val="12"/>
                <w:szCs w:val="12"/>
                <w:lang w:val="en-US" w:eastAsia="en-US"/>
              </w:rPr>
              <w:t>26</w:t>
            </w:r>
          </w:p>
        </w:tc>
        <w:tc>
          <w:tcPr>
            <w:tcW w:w="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C37824" w14:textId="77777777" w:rsidR="00B32EE3" w:rsidRDefault="00B32EE3">
            <w:pPr>
              <w:rPr>
                <w:rFonts w:ascii="Calibri" w:hAnsi="Calibri" w:cs="Calibri"/>
                <w:sz w:val="22"/>
                <w:szCs w:val="22"/>
                <w:lang w:val="en-US"/>
              </w:rPr>
            </w:pPr>
            <w:r>
              <w:rPr>
                <w:rFonts w:ascii="Calibri" w:hAnsi="Calibri" w:cs="Calibri"/>
                <w:sz w:val="12"/>
                <w:szCs w:val="12"/>
                <w:lang w:val="en-US" w:eastAsia="en-US"/>
              </w:rPr>
              <w:t>27</w:t>
            </w:r>
          </w:p>
        </w:tc>
        <w:tc>
          <w:tcPr>
            <w:tcW w:w="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E4E65A" w14:textId="77777777" w:rsidR="00B32EE3" w:rsidRDefault="00B32EE3">
            <w:pPr>
              <w:rPr>
                <w:rFonts w:ascii="Calibri" w:hAnsi="Calibri" w:cs="Calibri"/>
                <w:sz w:val="22"/>
                <w:szCs w:val="22"/>
                <w:lang w:val="en-US"/>
              </w:rPr>
            </w:pPr>
            <w:r>
              <w:rPr>
                <w:rFonts w:ascii="Calibri" w:hAnsi="Calibri" w:cs="Calibri"/>
                <w:sz w:val="12"/>
                <w:szCs w:val="12"/>
                <w:lang w:val="en-US" w:eastAsia="en-US"/>
              </w:rPr>
              <w:t>28</w:t>
            </w:r>
          </w:p>
        </w:tc>
      </w:tr>
      <w:tr w:rsidR="00B32EE3" w14:paraId="7F554B41" w14:textId="77777777" w:rsidTr="00AA2345">
        <w:tc>
          <w:tcPr>
            <w:tcW w:w="8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0097A9" w14:textId="77777777" w:rsidR="00B32EE3" w:rsidRDefault="00B32EE3">
            <w:pPr>
              <w:rPr>
                <w:rFonts w:ascii="Calibri" w:hAnsi="Calibri" w:cs="Calibri"/>
                <w:sz w:val="12"/>
                <w:szCs w:val="12"/>
                <w:lang w:val="en-US" w:eastAsia="en-US"/>
              </w:rPr>
            </w:pPr>
            <w:r>
              <w:rPr>
                <w:rFonts w:ascii="Calibri" w:hAnsi="Calibri" w:cs="Calibri"/>
                <w:sz w:val="12"/>
                <w:szCs w:val="12"/>
                <w:lang w:val="en-US" w:eastAsia="en-US"/>
              </w:rPr>
              <w:t>NPDCCH</w:t>
            </w:r>
          </w:p>
        </w:tc>
        <w:tc>
          <w:tcPr>
            <w:tcW w:w="277" w:type="dxa"/>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hideMark/>
          </w:tcPr>
          <w:p w14:paraId="64C70DC7" w14:textId="77777777" w:rsidR="00B32EE3" w:rsidRDefault="00B32EE3">
            <w:pPr>
              <w:rPr>
                <w:rFonts w:ascii="Calibri" w:hAnsi="Calibri" w:cs="Calibri"/>
                <w:sz w:val="12"/>
                <w:szCs w:val="12"/>
                <w:lang w:val="en-US" w:eastAsia="en-US"/>
              </w:rPr>
            </w:pPr>
            <w:r>
              <w:rPr>
                <w:rFonts w:ascii="Calibri" w:hAnsi="Calibri" w:cs="Calibri"/>
                <w:color w:val="000000"/>
                <w:sz w:val="12"/>
                <w:szCs w:val="12"/>
                <w:lang w:val="en-US" w:eastAsia="en-US"/>
              </w:rPr>
              <w:t>0</w:t>
            </w: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43686DE6" w14:textId="77777777" w:rsidR="00B32EE3" w:rsidRDefault="00B32EE3">
            <w:pPr>
              <w:rPr>
                <w:rFonts w:ascii="Calibri" w:hAnsi="Calibri" w:cs="Calibri"/>
                <w:sz w:val="12"/>
                <w:szCs w:val="12"/>
                <w:lang w:val="en-US" w:eastAsia="en-US"/>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184CEBE5" w14:textId="77777777" w:rsidR="00B32EE3" w:rsidRDefault="00B32EE3">
            <w:pPr>
              <w:rPr>
                <w:rFonts w:ascii="Calibri" w:hAnsi="Calibri" w:cs="Calibri"/>
                <w:sz w:val="12"/>
                <w:szCs w:val="12"/>
                <w:lang w:val="en-US" w:eastAsia="en-US"/>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5A0273C7" w14:textId="77777777" w:rsidR="00B32EE3" w:rsidRDefault="00B32EE3">
            <w:pPr>
              <w:rPr>
                <w:rFonts w:ascii="Calibri" w:hAnsi="Calibri" w:cs="Calibri"/>
                <w:sz w:val="12"/>
                <w:szCs w:val="12"/>
                <w:lang w:val="en-US" w:eastAsia="en-US"/>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2B206CFD" w14:textId="77777777" w:rsidR="00B32EE3" w:rsidRDefault="00B32EE3">
            <w:pPr>
              <w:rPr>
                <w:rFonts w:ascii="Calibri" w:hAnsi="Calibri" w:cs="Calibri"/>
                <w:sz w:val="12"/>
                <w:szCs w:val="12"/>
                <w:lang w:val="en-US" w:eastAsia="en-US"/>
              </w:rPr>
            </w:pPr>
          </w:p>
        </w:tc>
        <w:tc>
          <w:tcPr>
            <w:tcW w:w="284" w:type="dxa"/>
            <w:tcBorders>
              <w:top w:val="nil"/>
              <w:left w:val="nil"/>
              <w:bottom w:val="single" w:sz="8" w:space="0" w:color="auto"/>
              <w:right w:val="single" w:sz="8" w:space="0" w:color="auto"/>
            </w:tcBorders>
            <w:tcMar>
              <w:top w:w="0" w:type="dxa"/>
              <w:left w:w="108" w:type="dxa"/>
              <w:bottom w:w="0" w:type="dxa"/>
              <w:right w:w="108" w:type="dxa"/>
            </w:tcMar>
          </w:tcPr>
          <w:p w14:paraId="1601FBA2" w14:textId="77777777" w:rsidR="00B32EE3" w:rsidRDefault="00B32EE3">
            <w:pPr>
              <w:rPr>
                <w:rFonts w:ascii="Calibri" w:hAnsi="Calibri" w:cs="Calibri"/>
                <w:sz w:val="12"/>
                <w:szCs w:val="12"/>
                <w:lang w:val="en-US" w:eastAsia="en-US"/>
              </w:rPr>
            </w:pPr>
          </w:p>
        </w:tc>
        <w:tc>
          <w:tcPr>
            <w:tcW w:w="285" w:type="dxa"/>
            <w:tcBorders>
              <w:top w:val="nil"/>
              <w:left w:val="nil"/>
              <w:bottom w:val="single" w:sz="8" w:space="0" w:color="auto"/>
              <w:right w:val="single" w:sz="8" w:space="0" w:color="auto"/>
            </w:tcBorders>
            <w:tcMar>
              <w:top w:w="0" w:type="dxa"/>
              <w:left w:w="108" w:type="dxa"/>
              <w:bottom w:w="0" w:type="dxa"/>
              <w:right w:w="108" w:type="dxa"/>
            </w:tcMar>
          </w:tcPr>
          <w:p w14:paraId="651F2188" w14:textId="77777777" w:rsidR="00B32EE3" w:rsidRDefault="00B32EE3">
            <w:pPr>
              <w:rPr>
                <w:rFonts w:ascii="Calibri" w:hAnsi="Calibri" w:cs="Calibri"/>
                <w:sz w:val="12"/>
                <w:szCs w:val="12"/>
                <w:lang w:val="en-US" w:eastAsia="en-US"/>
              </w:rPr>
            </w:pPr>
          </w:p>
        </w:tc>
        <w:tc>
          <w:tcPr>
            <w:tcW w:w="284" w:type="dxa"/>
            <w:tcBorders>
              <w:top w:val="nil"/>
              <w:left w:val="nil"/>
              <w:bottom w:val="single" w:sz="8" w:space="0" w:color="auto"/>
              <w:right w:val="single" w:sz="8" w:space="0" w:color="auto"/>
            </w:tcBorders>
            <w:tcMar>
              <w:top w:w="0" w:type="dxa"/>
              <w:left w:w="108" w:type="dxa"/>
              <w:bottom w:w="0" w:type="dxa"/>
              <w:right w:w="108" w:type="dxa"/>
            </w:tcMar>
          </w:tcPr>
          <w:p w14:paraId="76565AA2" w14:textId="77777777" w:rsidR="00B32EE3" w:rsidRDefault="00B32EE3">
            <w:pPr>
              <w:rPr>
                <w:rFonts w:ascii="Calibri" w:hAnsi="Calibri" w:cs="Calibri"/>
                <w:sz w:val="12"/>
                <w:szCs w:val="12"/>
                <w:lang w:val="en-US" w:eastAsia="en-US"/>
              </w:rPr>
            </w:pPr>
          </w:p>
        </w:tc>
        <w:tc>
          <w:tcPr>
            <w:tcW w:w="285" w:type="dxa"/>
            <w:tcBorders>
              <w:top w:val="nil"/>
              <w:left w:val="nil"/>
              <w:bottom w:val="single" w:sz="8" w:space="0" w:color="auto"/>
              <w:right w:val="single" w:sz="8" w:space="0" w:color="auto"/>
            </w:tcBorders>
            <w:tcMar>
              <w:top w:w="0" w:type="dxa"/>
              <w:left w:w="108" w:type="dxa"/>
              <w:bottom w:w="0" w:type="dxa"/>
              <w:right w:w="108" w:type="dxa"/>
            </w:tcMar>
          </w:tcPr>
          <w:p w14:paraId="69DFFF32" w14:textId="77777777" w:rsidR="00B32EE3" w:rsidRDefault="00B32EE3">
            <w:pPr>
              <w:rPr>
                <w:rFonts w:ascii="Calibri" w:hAnsi="Calibri" w:cs="Calibri"/>
                <w:sz w:val="12"/>
                <w:szCs w:val="12"/>
                <w:lang w:val="en-US" w:eastAsia="en-US"/>
              </w:rPr>
            </w:pPr>
          </w:p>
        </w:tc>
        <w:tc>
          <w:tcPr>
            <w:tcW w:w="284" w:type="dxa"/>
            <w:tcBorders>
              <w:top w:val="nil"/>
              <w:left w:val="nil"/>
              <w:bottom w:val="single" w:sz="8" w:space="0" w:color="auto"/>
              <w:right w:val="single" w:sz="8" w:space="0" w:color="auto"/>
            </w:tcBorders>
            <w:tcMar>
              <w:top w:w="0" w:type="dxa"/>
              <w:left w:w="108" w:type="dxa"/>
              <w:bottom w:w="0" w:type="dxa"/>
              <w:right w:w="108" w:type="dxa"/>
            </w:tcMar>
          </w:tcPr>
          <w:p w14:paraId="514E153A" w14:textId="77777777" w:rsidR="00B32EE3" w:rsidRDefault="00B32EE3">
            <w:pPr>
              <w:rPr>
                <w:rFonts w:ascii="Calibri" w:hAnsi="Calibri" w:cs="Calibri"/>
                <w:sz w:val="12"/>
                <w:szCs w:val="12"/>
                <w:lang w:val="en-US" w:eastAsia="en-US"/>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3B9139C6" w14:textId="77777777" w:rsidR="00B32EE3" w:rsidRDefault="00B32EE3">
            <w:pPr>
              <w:rPr>
                <w:rFonts w:ascii="Calibri" w:hAnsi="Calibri" w:cs="Calibri"/>
                <w:sz w:val="12"/>
                <w:szCs w:val="12"/>
                <w:lang w:val="en-US" w:eastAsia="en-US"/>
              </w:rPr>
            </w:pPr>
          </w:p>
        </w:tc>
        <w:tc>
          <w:tcPr>
            <w:tcW w:w="340" w:type="dxa"/>
            <w:tcBorders>
              <w:top w:val="nil"/>
              <w:left w:val="nil"/>
              <w:bottom w:val="single" w:sz="8" w:space="0" w:color="auto"/>
              <w:right w:val="single" w:sz="8" w:space="0" w:color="auto"/>
            </w:tcBorders>
            <w:tcMar>
              <w:top w:w="0" w:type="dxa"/>
              <w:left w:w="108" w:type="dxa"/>
              <w:bottom w:w="0" w:type="dxa"/>
              <w:right w:w="108" w:type="dxa"/>
            </w:tcMar>
          </w:tcPr>
          <w:p w14:paraId="4D622364" w14:textId="77777777" w:rsidR="00B32EE3" w:rsidRDefault="00B32EE3">
            <w:pPr>
              <w:rPr>
                <w:rFonts w:ascii="Calibri" w:hAnsi="Calibri" w:cs="Calibri"/>
                <w:sz w:val="12"/>
                <w:szCs w:val="12"/>
                <w:lang w:val="en-US" w:eastAsia="en-US"/>
              </w:rPr>
            </w:pPr>
          </w:p>
        </w:tc>
        <w:tc>
          <w:tcPr>
            <w:tcW w:w="340" w:type="dxa"/>
            <w:tcBorders>
              <w:top w:val="nil"/>
              <w:left w:val="nil"/>
              <w:bottom w:val="single" w:sz="8" w:space="0" w:color="auto"/>
              <w:right w:val="single" w:sz="8" w:space="0" w:color="auto"/>
            </w:tcBorders>
            <w:tcMar>
              <w:top w:w="0" w:type="dxa"/>
              <w:left w:w="108" w:type="dxa"/>
              <w:bottom w:w="0" w:type="dxa"/>
              <w:right w:w="108" w:type="dxa"/>
            </w:tcMar>
          </w:tcPr>
          <w:p w14:paraId="48F49196" w14:textId="77777777" w:rsidR="00B32EE3" w:rsidRDefault="00B32EE3">
            <w:pPr>
              <w:rPr>
                <w:rFonts w:ascii="Calibri" w:hAnsi="Calibri" w:cs="Calibri"/>
                <w:sz w:val="12"/>
                <w:szCs w:val="12"/>
                <w:lang w:val="en-US" w:eastAsia="en-US"/>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698214A9" w14:textId="77777777" w:rsidR="00B32EE3" w:rsidRDefault="00B32EE3">
            <w:pPr>
              <w:rPr>
                <w:rFonts w:ascii="Calibri" w:hAnsi="Calibri" w:cs="Calibri"/>
                <w:sz w:val="12"/>
                <w:szCs w:val="12"/>
                <w:lang w:val="en-US" w:eastAsia="en-US"/>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3E5F8A2F" w14:textId="77777777" w:rsidR="00B32EE3" w:rsidRDefault="00B32EE3">
            <w:pPr>
              <w:rPr>
                <w:rFonts w:ascii="Calibri" w:hAnsi="Calibri" w:cs="Calibri"/>
                <w:sz w:val="12"/>
                <w:szCs w:val="12"/>
                <w:lang w:val="en-US" w:eastAsia="en-US"/>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72451167" w14:textId="77777777" w:rsidR="00B32EE3" w:rsidRDefault="00B32EE3">
            <w:pPr>
              <w:rPr>
                <w:rFonts w:ascii="Calibri" w:hAnsi="Calibri" w:cs="Calibri"/>
                <w:sz w:val="12"/>
                <w:szCs w:val="12"/>
                <w:lang w:val="en-US" w:eastAsia="en-US"/>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5EB97E93" w14:textId="77777777" w:rsidR="00B32EE3" w:rsidRDefault="00B32EE3">
            <w:pPr>
              <w:rPr>
                <w:rFonts w:ascii="Calibri" w:hAnsi="Calibri" w:cs="Calibri"/>
                <w:sz w:val="12"/>
                <w:szCs w:val="12"/>
                <w:lang w:val="en-US" w:eastAsia="en-US"/>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0D39A572" w14:textId="77777777" w:rsidR="00B32EE3" w:rsidRDefault="00B32EE3">
            <w:pPr>
              <w:rPr>
                <w:rFonts w:ascii="Calibri" w:hAnsi="Calibri" w:cs="Calibri"/>
                <w:sz w:val="12"/>
                <w:szCs w:val="12"/>
                <w:lang w:val="en-US" w:eastAsia="en-US"/>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778CCA4C" w14:textId="77777777" w:rsidR="00B32EE3" w:rsidRDefault="00B32EE3">
            <w:pPr>
              <w:rPr>
                <w:rFonts w:ascii="Calibri" w:hAnsi="Calibri" w:cs="Calibri"/>
                <w:sz w:val="12"/>
                <w:szCs w:val="12"/>
                <w:lang w:val="en-US" w:eastAsia="en-US"/>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6F39B52D" w14:textId="77777777" w:rsidR="00B32EE3" w:rsidRDefault="00B32EE3">
            <w:pPr>
              <w:rPr>
                <w:rFonts w:ascii="Calibri" w:hAnsi="Calibri" w:cs="Calibri"/>
                <w:sz w:val="12"/>
                <w:szCs w:val="12"/>
                <w:lang w:val="en-US" w:eastAsia="en-US"/>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13E86B06" w14:textId="77777777" w:rsidR="00B32EE3" w:rsidRDefault="00B32EE3">
            <w:pPr>
              <w:rPr>
                <w:rFonts w:ascii="Calibri" w:hAnsi="Calibri" w:cs="Calibri"/>
                <w:sz w:val="12"/>
                <w:szCs w:val="12"/>
                <w:lang w:val="en-US" w:eastAsia="en-US"/>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565E7967" w14:textId="77777777" w:rsidR="00B32EE3" w:rsidRDefault="00B32EE3">
            <w:pPr>
              <w:rPr>
                <w:rFonts w:ascii="Calibri" w:hAnsi="Calibri" w:cs="Calibri"/>
                <w:sz w:val="12"/>
                <w:szCs w:val="12"/>
                <w:lang w:val="en-US" w:eastAsia="en-US"/>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0164556A" w14:textId="77777777" w:rsidR="00B32EE3" w:rsidRDefault="00B32EE3">
            <w:pPr>
              <w:rPr>
                <w:rFonts w:ascii="Calibri" w:hAnsi="Calibri" w:cs="Calibri"/>
                <w:sz w:val="12"/>
                <w:szCs w:val="12"/>
                <w:lang w:val="en-US" w:eastAsia="en-US"/>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012D73B1" w14:textId="77777777" w:rsidR="00B32EE3" w:rsidRDefault="00B32EE3">
            <w:pPr>
              <w:rPr>
                <w:rFonts w:ascii="Calibri" w:hAnsi="Calibri" w:cs="Calibri"/>
                <w:sz w:val="12"/>
                <w:szCs w:val="12"/>
                <w:lang w:val="en-US" w:eastAsia="en-US"/>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47BBF8E9" w14:textId="77777777" w:rsidR="00B32EE3" w:rsidRDefault="00B32EE3">
            <w:pPr>
              <w:rPr>
                <w:rFonts w:ascii="Calibri" w:hAnsi="Calibri" w:cs="Calibri"/>
                <w:sz w:val="12"/>
                <w:szCs w:val="12"/>
                <w:lang w:val="en-US" w:eastAsia="en-US"/>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1148DD0C" w14:textId="77777777" w:rsidR="00B32EE3" w:rsidRDefault="00B32EE3">
            <w:pPr>
              <w:rPr>
                <w:rFonts w:ascii="Calibri" w:hAnsi="Calibri" w:cs="Calibri"/>
                <w:sz w:val="12"/>
                <w:szCs w:val="12"/>
                <w:lang w:val="en-US" w:eastAsia="en-US"/>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3354CAC9" w14:textId="77777777" w:rsidR="00B32EE3" w:rsidRDefault="00B32EE3">
            <w:pPr>
              <w:rPr>
                <w:rFonts w:ascii="Calibri" w:hAnsi="Calibri" w:cs="Calibri"/>
                <w:sz w:val="12"/>
                <w:szCs w:val="12"/>
                <w:lang w:val="en-US" w:eastAsia="en-US"/>
              </w:rPr>
            </w:pPr>
          </w:p>
        </w:tc>
        <w:tc>
          <w:tcPr>
            <w:tcW w:w="338" w:type="dxa"/>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hideMark/>
          </w:tcPr>
          <w:p w14:paraId="56F4480D" w14:textId="77777777" w:rsidR="00B32EE3" w:rsidRDefault="00B32EE3">
            <w:pPr>
              <w:rPr>
                <w:rFonts w:ascii="Calibri" w:hAnsi="Calibri" w:cs="Calibri"/>
                <w:sz w:val="12"/>
                <w:szCs w:val="12"/>
                <w:lang w:val="en-US" w:eastAsia="en-US"/>
              </w:rPr>
            </w:pPr>
            <w:r>
              <w:rPr>
                <w:rFonts w:ascii="Calibri" w:hAnsi="Calibri" w:cs="Calibri"/>
                <w:color w:val="000000"/>
                <w:sz w:val="12"/>
                <w:szCs w:val="12"/>
                <w:lang w:val="en-US" w:eastAsia="en-US"/>
              </w:rPr>
              <w:t>0</w:t>
            </w:r>
          </w:p>
        </w:tc>
        <w:tc>
          <w:tcPr>
            <w:tcW w:w="338" w:type="dxa"/>
            <w:tcBorders>
              <w:top w:val="nil"/>
              <w:left w:val="nil"/>
              <w:bottom w:val="single" w:sz="8" w:space="0" w:color="auto"/>
              <w:right w:val="single" w:sz="8" w:space="0" w:color="auto"/>
            </w:tcBorders>
            <w:tcMar>
              <w:top w:w="0" w:type="dxa"/>
              <w:left w:w="108" w:type="dxa"/>
              <w:bottom w:w="0" w:type="dxa"/>
              <w:right w:w="108" w:type="dxa"/>
            </w:tcMar>
            <w:hideMark/>
          </w:tcPr>
          <w:p w14:paraId="747CFC0D" w14:textId="77777777" w:rsidR="00B32EE3" w:rsidRDefault="00B32EE3">
            <w:pPr>
              <w:rPr>
                <w:rFonts w:ascii="Calibri" w:hAnsi="Calibri" w:cs="Calibri"/>
                <w:sz w:val="12"/>
                <w:szCs w:val="12"/>
                <w:lang w:val="en-US" w:eastAsia="en-US"/>
              </w:rPr>
            </w:pPr>
          </w:p>
        </w:tc>
      </w:tr>
      <w:tr w:rsidR="00B32EE3" w14:paraId="16353E13" w14:textId="77777777" w:rsidTr="00AA2345">
        <w:tc>
          <w:tcPr>
            <w:tcW w:w="8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34F8B3" w14:textId="77777777" w:rsidR="00B32EE3" w:rsidRDefault="00B32EE3">
            <w:pPr>
              <w:rPr>
                <w:rFonts w:ascii="Calibri" w:hAnsi="Calibri" w:cs="Calibri"/>
                <w:sz w:val="12"/>
                <w:szCs w:val="12"/>
                <w:lang w:val="en-US" w:eastAsia="en-US"/>
              </w:rPr>
            </w:pPr>
            <w:r>
              <w:rPr>
                <w:rFonts w:ascii="Calibri" w:hAnsi="Calibri" w:cs="Calibri"/>
                <w:sz w:val="12"/>
                <w:szCs w:val="12"/>
                <w:lang w:val="en-US" w:eastAsia="en-US"/>
              </w:rPr>
              <w:t>NPDSCH</w:t>
            </w: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393596B6" w14:textId="77777777" w:rsidR="00B32EE3" w:rsidRDefault="00B32EE3">
            <w:pPr>
              <w:rPr>
                <w:rFonts w:ascii="Calibri" w:hAnsi="Calibri" w:cs="Calibri"/>
                <w:sz w:val="12"/>
                <w:szCs w:val="12"/>
                <w:lang w:val="en-US" w:eastAsia="en-US"/>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57E399FC" w14:textId="77777777" w:rsidR="00B32EE3" w:rsidRDefault="00B32EE3">
            <w:pPr>
              <w:rPr>
                <w:rFonts w:ascii="Calibri" w:hAnsi="Calibri" w:cs="Calibri"/>
                <w:sz w:val="12"/>
                <w:szCs w:val="12"/>
                <w:lang w:val="en-US" w:eastAsia="en-US"/>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51973887" w14:textId="77777777" w:rsidR="00B32EE3" w:rsidRDefault="00B32EE3">
            <w:pPr>
              <w:rPr>
                <w:rFonts w:ascii="Calibri" w:hAnsi="Calibri" w:cs="Calibri"/>
                <w:sz w:val="12"/>
                <w:szCs w:val="12"/>
                <w:lang w:val="en-US" w:eastAsia="en-US"/>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31608708" w14:textId="77777777" w:rsidR="00B32EE3" w:rsidRDefault="00B32EE3">
            <w:pPr>
              <w:rPr>
                <w:rFonts w:ascii="Calibri" w:hAnsi="Calibri" w:cs="Calibri"/>
                <w:sz w:val="12"/>
                <w:szCs w:val="12"/>
                <w:lang w:val="en-US" w:eastAsia="en-US"/>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5F291EA3" w14:textId="77777777" w:rsidR="00B32EE3" w:rsidRDefault="00B32EE3">
            <w:pPr>
              <w:rPr>
                <w:rFonts w:ascii="Calibri" w:hAnsi="Calibri" w:cs="Calibri"/>
                <w:sz w:val="12"/>
                <w:szCs w:val="12"/>
                <w:lang w:val="en-US" w:eastAsia="en-US"/>
              </w:rPr>
            </w:pPr>
          </w:p>
        </w:tc>
        <w:tc>
          <w:tcPr>
            <w:tcW w:w="284"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hideMark/>
          </w:tcPr>
          <w:p w14:paraId="47894029" w14:textId="6CEA1040" w:rsidR="00B32EE3" w:rsidRDefault="00B32EE3">
            <w:pPr>
              <w:rPr>
                <w:rFonts w:ascii="Calibri" w:hAnsi="Calibri" w:cs="Calibri"/>
                <w:sz w:val="12"/>
                <w:szCs w:val="12"/>
                <w:lang w:val="en-US" w:eastAsia="en-US"/>
              </w:rPr>
            </w:pPr>
            <w:r>
              <w:rPr>
                <w:rFonts w:ascii="Calibri" w:hAnsi="Calibri" w:cs="Calibri"/>
                <w:color w:val="000000"/>
                <w:sz w:val="12"/>
                <w:szCs w:val="12"/>
                <w:lang w:val="en-US" w:eastAsia="en-US"/>
              </w:rPr>
              <w:t>0</w:t>
            </w:r>
          </w:p>
        </w:tc>
        <w:tc>
          <w:tcPr>
            <w:tcW w:w="285"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hideMark/>
          </w:tcPr>
          <w:p w14:paraId="776F42C7" w14:textId="0DBE259E" w:rsidR="00B32EE3" w:rsidRDefault="00B32EE3">
            <w:pPr>
              <w:rPr>
                <w:rFonts w:ascii="Calibri" w:hAnsi="Calibri" w:cs="Calibri"/>
                <w:sz w:val="12"/>
                <w:szCs w:val="12"/>
                <w:lang w:val="en-US" w:eastAsia="en-US"/>
              </w:rPr>
            </w:pPr>
            <w:r>
              <w:rPr>
                <w:rFonts w:ascii="Calibri" w:hAnsi="Calibri" w:cs="Calibri"/>
                <w:color w:val="000000"/>
                <w:sz w:val="12"/>
                <w:szCs w:val="12"/>
                <w:lang w:val="en-US" w:eastAsia="en-US"/>
              </w:rPr>
              <w:t>0</w:t>
            </w:r>
          </w:p>
        </w:tc>
        <w:tc>
          <w:tcPr>
            <w:tcW w:w="284"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hideMark/>
          </w:tcPr>
          <w:p w14:paraId="0261BCFD" w14:textId="22DA0037" w:rsidR="00B32EE3" w:rsidRDefault="00B32EE3">
            <w:pPr>
              <w:rPr>
                <w:rFonts w:ascii="Calibri" w:hAnsi="Calibri" w:cs="Calibri"/>
                <w:sz w:val="12"/>
                <w:szCs w:val="12"/>
                <w:lang w:val="en-US" w:eastAsia="en-US"/>
              </w:rPr>
            </w:pPr>
            <w:r>
              <w:rPr>
                <w:rFonts w:ascii="Calibri" w:hAnsi="Calibri" w:cs="Calibri"/>
                <w:color w:val="000000"/>
                <w:sz w:val="12"/>
                <w:szCs w:val="12"/>
                <w:lang w:val="en-US" w:eastAsia="en-US"/>
              </w:rPr>
              <w:t>0</w:t>
            </w:r>
          </w:p>
        </w:tc>
        <w:tc>
          <w:tcPr>
            <w:tcW w:w="285"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hideMark/>
          </w:tcPr>
          <w:p w14:paraId="7A9BF093" w14:textId="5F0E2BA1" w:rsidR="00B32EE3" w:rsidRDefault="00B32EE3">
            <w:pPr>
              <w:rPr>
                <w:rFonts w:ascii="Calibri" w:hAnsi="Calibri" w:cs="Calibri"/>
                <w:sz w:val="12"/>
                <w:szCs w:val="12"/>
                <w:lang w:val="en-US" w:eastAsia="en-US"/>
              </w:rPr>
            </w:pPr>
            <w:r>
              <w:rPr>
                <w:rFonts w:ascii="Calibri" w:hAnsi="Calibri" w:cs="Calibri"/>
                <w:color w:val="000000"/>
                <w:sz w:val="12"/>
                <w:szCs w:val="12"/>
                <w:lang w:val="en-US" w:eastAsia="en-US"/>
              </w:rPr>
              <w:t>0</w:t>
            </w:r>
          </w:p>
        </w:tc>
        <w:tc>
          <w:tcPr>
            <w:tcW w:w="284"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hideMark/>
          </w:tcPr>
          <w:p w14:paraId="4B694039" w14:textId="22211614" w:rsidR="00B32EE3" w:rsidRDefault="00B32EE3">
            <w:pPr>
              <w:rPr>
                <w:rFonts w:ascii="Calibri" w:hAnsi="Calibri" w:cs="Calibri"/>
                <w:sz w:val="12"/>
                <w:szCs w:val="12"/>
                <w:lang w:val="en-US" w:eastAsia="en-US"/>
              </w:rPr>
            </w:pPr>
            <w:r>
              <w:rPr>
                <w:rFonts w:ascii="Calibri" w:hAnsi="Calibri" w:cs="Calibri"/>
                <w:color w:val="000000"/>
                <w:sz w:val="12"/>
                <w:szCs w:val="12"/>
                <w:lang w:val="en-US" w:eastAsia="en-US"/>
              </w:rPr>
              <w:t>0</w:t>
            </w:r>
          </w:p>
        </w:tc>
        <w:tc>
          <w:tcPr>
            <w:tcW w:w="338"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hideMark/>
          </w:tcPr>
          <w:p w14:paraId="1FD1AF30" w14:textId="67F71564" w:rsidR="00B32EE3" w:rsidRDefault="00B32EE3">
            <w:pPr>
              <w:rPr>
                <w:rFonts w:ascii="Calibri" w:hAnsi="Calibri" w:cs="Calibri"/>
                <w:sz w:val="12"/>
                <w:szCs w:val="12"/>
                <w:lang w:val="en-US" w:eastAsia="en-US"/>
              </w:rPr>
            </w:pPr>
            <w:r>
              <w:rPr>
                <w:rFonts w:ascii="Calibri" w:hAnsi="Calibri" w:cs="Calibri"/>
                <w:color w:val="000000"/>
                <w:sz w:val="12"/>
                <w:szCs w:val="12"/>
                <w:lang w:val="en-US" w:eastAsia="en-US"/>
              </w:rPr>
              <w:t>0</w:t>
            </w:r>
          </w:p>
        </w:tc>
        <w:tc>
          <w:tcPr>
            <w:tcW w:w="340"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hideMark/>
          </w:tcPr>
          <w:p w14:paraId="4A3A8E2B" w14:textId="4FCFF7A0" w:rsidR="00B32EE3" w:rsidRDefault="00B32EE3">
            <w:pPr>
              <w:rPr>
                <w:rFonts w:ascii="Calibri" w:hAnsi="Calibri" w:cs="Calibri"/>
                <w:sz w:val="12"/>
                <w:szCs w:val="12"/>
                <w:lang w:val="en-US" w:eastAsia="en-US"/>
              </w:rPr>
            </w:pPr>
            <w:r>
              <w:rPr>
                <w:rFonts w:ascii="Calibri" w:hAnsi="Calibri" w:cs="Calibri"/>
                <w:color w:val="000000"/>
                <w:sz w:val="12"/>
                <w:szCs w:val="12"/>
                <w:lang w:val="en-US" w:eastAsia="en-US"/>
              </w:rPr>
              <w:t>0</w:t>
            </w:r>
          </w:p>
        </w:tc>
        <w:tc>
          <w:tcPr>
            <w:tcW w:w="340"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hideMark/>
          </w:tcPr>
          <w:p w14:paraId="436CD745" w14:textId="6AC7D411" w:rsidR="00B32EE3" w:rsidRDefault="00B32EE3">
            <w:pPr>
              <w:rPr>
                <w:rFonts w:ascii="Calibri" w:hAnsi="Calibri" w:cs="Calibri"/>
                <w:sz w:val="12"/>
                <w:szCs w:val="12"/>
                <w:lang w:val="en-US" w:eastAsia="en-US"/>
              </w:rPr>
            </w:pPr>
            <w:r>
              <w:rPr>
                <w:rFonts w:ascii="Calibri" w:hAnsi="Calibri" w:cs="Calibri"/>
                <w:color w:val="000000"/>
                <w:sz w:val="12"/>
                <w:szCs w:val="12"/>
                <w:lang w:val="en-US" w:eastAsia="en-US"/>
              </w:rPr>
              <w:t>0</w:t>
            </w:r>
          </w:p>
        </w:tc>
        <w:tc>
          <w:tcPr>
            <w:tcW w:w="338"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hideMark/>
          </w:tcPr>
          <w:p w14:paraId="418B4F21" w14:textId="4446E0C9" w:rsidR="00B32EE3" w:rsidRDefault="00B32EE3">
            <w:pPr>
              <w:rPr>
                <w:rFonts w:ascii="Calibri" w:hAnsi="Calibri" w:cs="Calibri"/>
                <w:sz w:val="12"/>
                <w:szCs w:val="12"/>
                <w:lang w:val="en-US" w:eastAsia="en-US"/>
              </w:rPr>
            </w:pPr>
            <w:r>
              <w:rPr>
                <w:rFonts w:ascii="Calibri" w:hAnsi="Calibri" w:cs="Calibri"/>
                <w:color w:val="000000"/>
                <w:sz w:val="12"/>
                <w:szCs w:val="12"/>
                <w:lang w:val="en-US" w:eastAsia="en-US"/>
              </w:rPr>
              <w:t>0</w:t>
            </w:r>
          </w:p>
        </w:tc>
        <w:tc>
          <w:tcPr>
            <w:tcW w:w="338"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hideMark/>
          </w:tcPr>
          <w:p w14:paraId="18676F65" w14:textId="68CDEB08" w:rsidR="00B32EE3" w:rsidRDefault="00B32EE3">
            <w:pPr>
              <w:rPr>
                <w:rFonts w:ascii="Calibri" w:hAnsi="Calibri" w:cs="Calibri"/>
                <w:sz w:val="12"/>
                <w:szCs w:val="12"/>
                <w:lang w:val="en-US" w:eastAsia="en-US"/>
              </w:rPr>
            </w:pPr>
            <w:r>
              <w:rPr>
                <w:rFonts w:ascii="Calibri" w:hAnsi="Calibri" w:cs="Calibri"/>
                <w:color w:val="000000"/>
                <w:sz w:val="12"/>
                <w:szCs w:val="12"/>
                <w:lang w:val="en-US" w:eastAsia="en-US"/>
              </w:rPr>
              <w:t>0</w:t>
            </w: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53293754" w14:textId="77777777" w:rsidR="00B32EE3" w:rsidRDefault="00B32EE3">
            <w:pPr>
              <w:rPr>
                <w:rFonts w:ascii="Calibri" w:hAnsi="Calibri" w:cs="Calibri"/>
                <w:sz w:val="12"/>
                <w:szCs w:val="12"/>
                <w:lang w:val="en-US" w:eastAsia="en-US"/>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6F3C6FD9" w14:textId="77777777" w:rsidR="00B32EE3" w:rsidRDefault="00B32EE3">
            <w:pPr>
              <w:rPr>
                <w:rFonts w:ascii="Calibri" w:hAnsi="Calibri" w:cs="Calibri"/>
                <w:sz w:val="12"/>
                <w:szCs w:val="12"/>
                <w:lang w:val="en-US" w:eastAsia="en-US"/>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7C9BCBF8" w14:textId="77777777" w:rsidR="00B32EE3" w:rsidRDefault="00B32EE3">
            <w:pPr>
              <w:rPr>
                <w:rFonts w:ascii="Calibri" w:hAnsi="Calibri" w:cs="Calibri"/>
                <w:sz w:val="12"/>
                <w:szCs w:val="12"/>
                <w:lang w:val="en-US" w:eastAsia="en-US"/>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7FECD7E9" w14:textId="77777777" w:rsidR="00B32EE3" w:rsidRDefault="00B32EE3">
            <w:pPr>
              <w:rPr>
                <w:rFonts w:ascii="Calibri" w:hAnsi="Calibri" w:cs="Calibri"/>
                <w:sz w:val="12"/>
                <w:szCs w:val="12"/>
                <w:lang w:val="en-US" w:eastAsia="en-US"/>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3C23F85C" w14:textId="77777777" w:rsidR="00B32EE3" w:rsidRDefault="00B32EE3">
            <w:pPr>
              <w:rPr>
                <w:rFonts w:ascii="Calibri" w:hAnsi="Calibri" w:cs="Calibri"/>
                <w:sz w:val="12"/>
                <w:szCs w:val="12"/>
                <w:lang w:val="en-US" w:eastAsia="en-US"/>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4AFBBEDB" w14:textId="77777777" w:rsidR="00B32EE3" w:rsidRDefault="00B32EE3">
            <w:pPr>
              <w:rPr>
                <w:rFonts w:ascii="Calibri" w:hAnsi="Calibri" w:cs="Calibri"/>
                <w:sz w:val="12"/>
                <w:szCs w:val="12"/>
                <w:lang w:val="en-US" w:eastAsia="en-US"/>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36D5C4CE" w14:textId="77777777" w:rsidR="00B32EE3" w:rsidRDefault="00B32EE3">
            <w:pPr>
              <w:rPr>
                <w:rFonts w:ascii="Calibri" w:hAnsi="Calibri" w:cs="Calibri"/>
                <w:sz w:val="12"/>
                <w:szCs w:val="12"/>
                <w:lang w:val="en-US" w:eastAsia="en-US"/>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41EBE63B" w14:textId="77777777" w:rsidR="00B32EE3" w:rsidRDefault="00B32EE3">
            <w:pPr>
              <w:rPr>
                <w:rFonts w:ascii="Calibri" w:hAnsi="Calibri" w:cs="Calibri"/>
                <w:sz w:val="12"/>
                <w:szCs w:val="12"/>
                <w:lang w:val="en-US" w:eastAsia="en-US"/>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11EC45A5" w14:textId="77777777" w:rsidR="00B32EE3" w:rsidRDefault="00B32EE3">
            <w:pPr>
              <w:rPr>
                <w:rFonts w:ascii="Calibri" w:hAnsi="Calibri" w:cs="Calibri"/>
                <w:sz w:val="12"/>
                <w:szCs w:val="12"/>
                <w:lang w:val="en-US" w:eastAsia="en-US"/>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3038871C" w14:textId="77777777" w:rsidR="00B32EE3" w:rsidRDefault="00B32EE3">
            <w:pPr>
              <w:rPr>
                <w:rFonts w:ascii="Calibri" w:hAnsi="Calibri" w:cs="Calibri"/>
                <w:sz w:val="12"/>
                <w:szCs w:val="12"/>
                <w:lang w:val="en-US" w:eastAsia="en-US"/>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03A4118C" w14:textId="77777777" w:rsidR="00B32EE3" w:rsidRDefault="00B32EE3">
            <w:pPr>
              <w:rPr>
                <w:rFonts w:ascii="Calibri" w:hAnsi="Calibri" w:cs="Calibri"/>
                <w:sz w:val="12"/>
                <w:szCs w:val="12"/>
                <w:lang w:val="en-US" w:eastAsia="en-US"/>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4841C934" w14:textId="77777777" w:rsidR="00B32EE3" w:rsidRDefault="00B32EE3">
            <w:pPr>
              <w:rPr>
                <w:rFonts w:ascii="Calibri" w:hAnsi="Calibri" w:cs="Calibri"/>
                <w:sz w:val="12"/>
                <w:szCs w:val="12"/>
                <w:lang w:val="en-US" w:eastAsia="en-US"/>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1ED0A337" w14:textId="77777777" w:rsidR="00B32EE3" w:rsidRDefault="00B32EE3">
            <w:pPr>
              <w:rPr>
                <w:rFonts w:ascii="Calibri" w:hAnsi="Calibri" w:cs="Calibri"/>
                <w:sz w:val="12"/>
                <w:szCs w:val="12"/>
                <w:lang w:val="en-US" w:eastAsia="en-US"/>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451227DB" w14:textId="77777777" w:rsidR="00B32EE3" w:rsidRDefault="00B32EE3">
            <w:pPr>
              <w:rPr>
                <w:rFonts w:ascii="Calibri" w:hAnsi="Calibri" w:cs="Calibri"/>
                <w:sz w:val="12"/>
                <w:szCs w:val="12"/>
                <w:lang w:val="en-US" w:eastAsia="en-US"/>
              </w:rPr>
            </w:pPr>
          </w:p>
        </w:tc>
      </w:tr>
      <w:tr w:rsidR="009D7ED4" w14:paraId="79F7E9DB" w14:textId="77777777" w:rsidTr="00A43746">
        <w:tc>
          <w:tcPr>
            <w:tcW w:w="8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6F51C0" w14:textId="7D238FB0" w:rsidR="009D7ED4" w:rsidRDefault="009D7ED4">
            <w:pPr>
              <w:rPr>
                <w:rFonts w:ascii="Calibri" w:hAnsi="Calibri" w:cs="Calibri"/>
                <w:sz w:val="12"/>
                <w:szCs w:val="12"/>
                <w:lang w:val="en-US" w:eastAsia="en-US"/>
              </w:rPr>
            </w:pPr>
            <w:r>
              <w:rPr>
                <w:rFonts w:ascii="Calibri" w:hAnsi="Calibri" w:cs="Calibri"/>
                <w:sz w:val="12"/>
                <w:szCs w:val="12"/>
                <w:lang w:val="en-US" w:eastAsia="en-US"/>
              </w:rPr>
              <w:t>N</w:t>
            </w:r>
            <w:r w:rsidRPr="00C65383">
              <w:rPr>
                <w:rFonts w:ascii="Calibri" w:hAnsi="Calibri" w:cs="Calibri"/>
                <w:sz w:val="12"/>
                <w:szCs w:val="12"/>
                <w:lang w:val="en-US" w:eastAsia="en-US"/>
              </w:rPr>
              <w:t xml:space="preserve">DPCCH to </w:t>
            </w:r>
            <w:r>
              <w:rPr>
                <w:rFonts w:ascii="Calibri" w:hAnsi="Calibri" w:cs="Calibri"/>
                <w:sz w:val="12"/>
                <w:szCs w:val="12"/>
                <w:lang w:val="en-US" w:eastAsia="en-US"/>
              </w:rPr>
              <w:t>N</w:t>
            </w:r>
            <w:r w:rsidRPr="00C65383">
              <w:rPr>
                <w:rFonts w:ascii="Calibri" w:hAnsi="Calibri" w:cs="Calibri"/>
                <w:sz w:val="12"/>
                <w:szCs w:val="12"/>
                <w:lang w:val="en-US" w:eastAsia="en-US"/>
              </w:rPr>
              <w:t>PDSCH delay</w:t>
            </w: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4DA00A91" w14:textId="77777777" w:rsidR="009D7ED4" w:rsidRDefault="009D7ED4">
            <w:pPr>
              <w:rPr>
                <w:rFonts w:ascii="Calibri" w:hAnsi="Calibri" w:cs="Calibri"/>
                <w:sz w:val="12"/>
                <w:szCs w:val="12"/>
                <w:lang w:val="en-US" w:eastAsia="en-US"/>
              </w:rPr>
            </w:pPr>
          </w:p>
        </w:tc>
        <w:tc>
          <w:tcPr>
            <w:tcW w:w="1108" w:type="dxa"/>
            <w:gridSpan w:val="4"/>
            <w:tcBorders>
              <w:top w:val="nil"/>
              <w:left w:val="nil"/>
              <w:bottom w:val="single" w:sz="8" w:space="0" w:color="auto"/>
              <w:right w:val="single" w:sz="8" w:space="0" w:color="auto"/>
            </w:tcBorders>
            <w:tcMar>
              <w:top w:w="0" w:type="dxa"/>
              <w:left w:w="108" w:type="dxa"/>
              <w:bottom w:w="0" w:type="dxa"/>
              <w:right w:w="108" w:type="dxa"/>
            </w:tcMar>
          </w:tcPr>
          <w:p w14:paraId="3878A003" w14:textId="1602220E" w:rsidR="009D7ED4" w:rsidRDefault="009D7ED4" w:rsidP="009D7ED4">
            <w:pPr>
              <w:jc w:val="center"/>
              <w:rPr>
                <w:rFonts w:ascii="Calibri" w:hAnsi="Calibri" w:cs="Calibri"/>
                <w:sz w:val="12"/>
                <w:szCs w:val="12"/>
                <w:lang w:val="en-US" w:eastAsia="en-US"/>
              </w:rPr>
            </w:pPr>
            <w:r>
              <w:rPr>
                <w:rFonts w:ascii="Calibri" w:hAnsi="Calibri" w:cs="Calibri"/>
                <w:sz w:val="12"/>
                <w:szCs w:val="12"/>
                <w:lang w:val="en-US" w:eastAsia="en-US"/>
              </w:rPr>
              <w:t>4ms</w:t>
            </w:r>
          </w:p>
        </w:tc>
        <w:tc>
          <w:tcPr>
            <w:tcW w:w="2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69F7254" w14:textId="77777777" w:rsidR="009D7ED4" w:rsidRDefault="009D7ED4">
            <w:pPr>
              <w:rPr>
                <w:rFonts w:ascii="Calibri" w:hAnsi="Calibri" w:cs="Calibri"/>
                <w:color w:val="000000"/>
                <w:sz w:val="12"/>
                <w:szCs w:val="12"/>
                <w:lang w:val="en-US" w:eastAsia="en-US"/>
              </w:rPr>
            </w:pPr>
          </w:p>
        </w:tc>
        <w:tc>
          <w:tcPr>
            <w:tcW w:w="28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DF1AED3" w14:textId="77777777" w:rsidR="009D7ED4" w:rsidRDefault="009D7ED4">
            <w:pPr>
              <w:rPr>
                <w:rFonts w:ascii="Calibri" w:hAnsi="Calibri" w:cs="Calibri"/>
                <w:color w:val="000000"/>
                <w:sz w:val="12"/>
                <w:szCs w:val="12"/>
                <w:lang w:val="en-US" w:eastAsia="en-US"/>
              </w:rPr>
            </w:pPr>
          </w:p>
        </w:tc>
        <w:tc>
          <w:tcPr>
            <w:tcW w:w="2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BCC91DF" w14:textId="77777777" w:rsidR="009D7ED4" w:rsidRDefault="009D7ED4">
            <w:pPr>
              <w:rPr>
                <w:rFonts w:ascii="Calibri" w:hAnsi="Calibri" w:cs="Calibri"/>
                <w:color w:val="000000"/>
                <w:sz w:val="12"/>
                <w:szCs w:val="12"/>
                <w:lang w:val="en-US" w:eastAsia="en-US"/>
              </w:rPr>
            </w:pPr>
          </w:p>
        </w:tc>
        <w:tc>
          <w:tcPr>
            <w:tcW w:w="28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204DAD9" w14:textId="77777777" w:rsidR="009D7ED4" w:rsidRDefault="009D7ED4">
            <w:pPr>
              <w:rPr>
                <w:rFonts w:ascii="Calibri" w:hAnsi="Calibri" w:cs="Calibri"/>
                <w:color w:val="000000"/>
                <w:sz w:val="12"/>
                <w:szCs w:val="12"/>
                <w:lang w:val="en-US" w:eastAsia="en-US"/>
              </w:rPr>
            </w:pPr>
          </w:p>
        </w:tc>
        <w:tc>
          <w:tcPr>
            <w:tcW w:w="2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F4C9191" w14:textId="77777777" w:rsidR="009D7ED4" w:rsidRDefault="009D7ED4">
            <w:pPr>
              <w:rPr>
                <w:rFonts w:ascii="Calibri" w:hAnsi="Calibri" w:cs="Calibri"/>
                <w:color w:val="000000"/>
                <w:sz w:val="12"/>
                <w:szCs w:val="12"/>
                <w:lang w:val="en-US" w:eastAsia="en-US"/>
              </w:rPr>
            </w:pPr>
          </w:p>
        </w:tc>
        <w:tc>
          <w:tcPr>
            <w:tcW w:w="33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779669A" w14:textId="77777777" w:rsidR="009D7ED4" w:rsidRDefault="009D7ED4">
            <w:pPr>
              <w:rPr>
                <w:rFonts w:ascii="Calibri" w:hAnsi="Calibri" w:cs="Calibri"/>
                <w:color w:val="000000"/>
                <w:sz w:val="12"/>
                <w:szCs w:val="12"/>
                <w:lang w:val="en-US" w:eastAsia="en-US"/>
              </w:rPr>
            </w:pPr>
          </w:p>
        </w:tc>
        <w:tc>
          <w:tcPr>
            <w:tcW w:w="3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76216C2" w14:textId="77777777" w:rsidR="009D7ED4" w:rsidRDefault="009D7ED4">
            <w:pPr>
              <w:rPr>
                <w:rFonts w:ascii="Calibri" w:hAnsi="Calibri" w:cs="Calibri"/>
                <w:color w:val="000000"/>
                <w:sz w:val="12"/>
                <w:szCs w:val="12"/>
                <w:lang w:val="en-US" w:eastAsia="en-US"/>
              </w:rPr>
            </w:pPr>
          </w:p>
        </w:tc>
        <w:tc>
          <w:tcPr>
            <w:tcW w:w="3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90FF122" w14:textId="77777777" w:rsidR="009D7ED4" w:rsidRDefault="009D7ED4">
            <w:pPr>
              <w:rPr>
                <w:rFonts w:ascii="Calibri" w:hAnsi="Calibri" w:cs="Calibri"/>
                <w:color w:val="000000"/>
                <w:sz w:val="12"/>
                <w:szCs w:val="12"/>
                <w:lang w:val="en-US" w:eastAsia="en-US"/>
              </w:rPr>
            </w:pPr>
          </w:p>
        </w:tc>
        <w:tc>
          <w:tcPr>
            <w:tcW w:w="33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3A28B55" w14:textId="77777777" w:rsidR="009D7ED4" w:rsidRDefault="009D7ED4">
            <w:pPr>
              <w:rPr>
                <w:rFonts w:ascii="Calibri" w:hAnsi="Calibri" w:cs="Calibri"/>
                <w:color w:val="000000"/>
                <w:sz w:val="12"/>
                <w:szCs w:val="12"/>
                <w:lang w:val="en-US" w:eastAsia="en-US"/>
              </w:rPr>
            </w:pPr>
          </w:p>
        </w:tc>
        <w:tc>
          <w:tcPr>
            <w:tcW w:w="33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DC7F786" w14:textId="77777777" w:rsidR="009D7ED4" w:rsidRDefault="009D7ED4">
            <w:pPr>
              <w:rPr>
                <w:rFonts w:ascii="Calibri" w:hAnsi="Calibri" w:cs="Calibri"/>
                <w:color w:val="000000"/>
                <w:sz w:val="12"/>
                <w:szCs w:val="12"/>
                <w:lang w:val="en-US" w:eastAsia="en-US"/>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4B6F99A2" w14:textId="77777777" w:rsidR="009D7ED4" w:rsidRDefault="009D7ED4">
            <w:pPr>
              <w:rPr>
                <w:rFonts w:ascii="Calibri" w:hAnsi="Calibri" w:cs="Calibri"/>
                <w:sz w:val="12"/>
                <w:szCs w:val="12"/>
                <w:lang w:val="en-US" w:eastAsia="en-US"/>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1365C069" w14:textId="77777777" w:rsidR="009D7ED4" w:rsidRDefault="009D7ED4">
            <w:pPr>
              <w:rPr>
                <w:rFonts w:ascii="Calibri" w:hAnsi="Calibri" w:cs="Calibri"/>
                <w:sz w:val="12"/>
                <w:szCs w:val="12"/>
                <w:lang w:val="en-US" w:eastAsia="en-US"/>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4193267B" w14:textId="77777777" w:rsidR="009D7ED4" w:rsidRDefault="009D7ED4">
            <w:pPr>
              <w:rPr>
                <w:rFonts w:ascii="Calibri" w:hAnsi="Calibri" w:cs="Calibri"/>
                <w:sz w:val="12"/>
                <w:szCs w:val="12"/>
                <w:lang w:val="en-US" w:eastAsia="en-US"/>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45380836" w14:textId="77777777" w:rsidR="009D7ED4" w:rsidRDefault="009D7ED4">
            <w:pPr>
              <w:rPr>
                <w:rFonts w:ascii="Calibri" w:hAnsi="Calibri" w:cs="Calibri"/>
                <w:sz w:val="12"/>
                <w:szCs w:val="12"/>
                <w:lang w:val="en-US" w:eastAsia="en-US"/>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119FDD0E" w14:textId="77777777" w:rsidR="009D7ED4" w:rsidRDefault="009D7ED4">
            <w:pPr>
              <w:rPr>
                <w:rFonts w:ascii="Calibri" w:hAnsi="Calibri" w:cs="Calibri"/>
                <w:sz w:val="12"/>
                <w:szCs w:val="12"/>
                <w:lang w:val="en-US" w:eastAsia="en-US"/>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3CF028F8" w14:textId="77777777" w:rsidR="009D7ED4" w:rsidRDefault="009D7ED4">
            <w:pPr>
              <w:rPr>
                <w:rFonts w:ascii="Calibri" w:hAnsi="Calibri" w:cs="Calibri"/>
                <w:sz w:val="12"/>
                <w:szCs w:val="12"/>
                <w:lang w:val="en-US" w:eastAsia="en-US"/>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6460857D" w14:textId="77777777" w:rsidR="009D7ED4" w:rsidRDefault="009D7ED4">
            <w:pPr>
              <w:rPr>
                <w:rFonts w:ascii="Calibri" w:hAnsi="Calibri" w:cs="Calibri"/>
                <w:sz w:val="12"/>
                <w:szCs w:val="12"/>
                <w:lang w:val="en-US" w:eastAsia="en-US"/>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65EDEC9E" w14:textId="77777777" w:rsidR="009D7ED4" w:rsidRDefault="009D7ED4">
            <w:pPr>
              <w:rPr>
                <w:rFonts w:ascii="Calibri" w:hAnsi="Calibri" w:cs="Calibri"/>
                <w:sz w:val="12"/>
                <w:szCs w:val="12"/>
                <w:lang w:val="en-US" w:eastAsia="en-US"/>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739B4BED" w14:textId="77777777" w:rsidR="009D7ED4" w:rsidRDefault="009D7ED4">
            <w:pPr>
              <w:rPr>
                <w:rFonts w:ascii="Calibri" w:hAnsi="Calibri" w:cs="Calibri"/>
                <w:sz w:val="12"/>
                <w:szCs w:val="12"/>
                <w:lang w:val="en-US" w:eastAsia="en-US"/>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27BCBDD5" w14:textId="77777777" w:rsidR="009D7ED4" w:rsidRDefault="009D7ED4">
            <w:pPr>
              <w:rPr>
                <w:rFonts w:ascii="Calibri" w:hAnsi="Calibri" w:cs="Calibri"/>
                <w:sz w:val="12"/>
                <w:szCs w:val="12"/>
                <w:lang w:val="en-US" w:eastAsia="en-US"/>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0ECB5C3D" w14:textId="77777777" w:rsidR="009D7ED4" w:rsidRDefault="009D7ED4">
            <w:pPr>
              <w:rPr>
                <w:rFonts w:ascii="Calibri" w:hAnsi="Calibri" w:cs="Calibri"/>
                <w:sz w:val="12"/>
                <w:szCs w:val="12"/>
                <w:lang w:val="en-US" w:eastAsia="en-US"/>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2A9E4B0E" w14:textId="77777777" w:rsidR="009D7ED4" w:rsidRDefault="009D7ED4">
            <w:pPr>
              <w:rPr>
                <w:rFonts w:ascii="Calibri" w:hAnsi="Calibri" w:cs="Calibri"/>
                <w:sz w:val="12"/>
                <w:szCs w:val="12"/>
                <w:lang w:val="en-US" w:eastAsia="en-US"/>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15B22916" w14:textId="77777777" w:rsidR="009D7ED4" w:rsidRDefault="009D7ED4">
            <w:pPr>
              <w:rPr>
                <w:rFonts w:ascii="Calibri" w:hAnsi="Calibri" w:cs="Calibri"/>
                <w:sz w:val="12"/>
                <w:szCs w:val="12"/>
                <w:lang w:val="en-US" w:eastAsia="en-US"/>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6EDEF207" w14:textId="77777777" w:rsidR="009D7ED4" w:rsidRDefault="009D7ED4">
            <w:pPr>
              <w:rPr>
                <w:rFonts w:ascii="Calibri" w:hAnsi="Calibri" w:cs="Calibri"/>
                <w:sz w:val="12"/>
                <w:szCs w:val="12"/>
                <w:lang w:val="en-US" w:eastAsia="en-US"/>
              </w:rPr>
            </w:pPr>
          </w:p>
        </w:tc>
      </w:tr>
      <w:tr w:rsidR="009D7ED4" w14:paraId="0D97F187" w14:textId="77777777" w:rsidTr="00F01F9A">
        <w:tc>
          <w:tcPr>
            <w:tcW w:w="8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C20749" w14:textId="363A4534" w:rsidR="009D7ED4" w:rsidRDefault="009D7ED4" w:rsidP="009D7ED4">
            <w:pPr>
              <w:rPr>
                <w:rFonts w:ascii="Calibri" w:eastAsia="Calibri" w:hAnsi="Calibri" w:cs="Calibri"/>
                <w:sz w:val="12"/>
                <w:szCs w:val="12"/>
              </w:rPr>
            </w:pPr>
            <w:r>
              <w:rPr>
                <w:rFonts w:ascii="Calibri" w:eastAsia="Calibri" w:hAnsi="Calibri" w:cs="Calibri"/>
                <w:sz w:val="12"/>
                <w:szCs w:val="12"/>
              </w:rPr>
              <w:t>N</w:t>
            </w:r>
            <w:r w:rsidRPr="0047424F">
              <w:rPr>
                <w:rFonts w:ascii="Calibri" w:eastAsia="Calibri" w:hAnsi="Calibri" w:cs="Calibri"/>
                <w:sz w:val="12"/>
                <w:szCs w:val="12"/>
              </w:rPr>
              <w:t xml:space="preserve">PDSCH to </w:t>
            </w:r>
            <w:r>
              <w:rPr>
                <w:rFonts w:ascii="Calibri" w:eastAsia="Calibri" w:hAnsi="Calibri" w:cs="Calibri"/>
                <w:sz w:val="12"/>
                <w:szCs w:val="12"/>
              </w:rPr>
              <w:t>earliest DL monitoring</w:t>
            </w:r>
            <w:r w:rsidRPr="0047424F">
              <w:rPr>
                <w:rFonts w:ascii="Calibri" w:eastAsia="Calibri" w:hAnsi="Calibri" w:cs="Calibri"/>
                <w:sz w:val="12"/>
                <w:szCs w:val="12"/>
              </w:rPr>
              <w:t xml:space="preserve"> delay</w:t>
            </w:r>
          </w:p>
          <w:p w14:paraId="139B0A70" w14:textId="2BCC0F76" w:rsidR="009D7ED4" w:rsidRDefault="009D7ED4" w:rsidP="009D7ED4">
            <w:pPr>
              <w:rPr>
                <w:rFonts w:ascii="Calibri" w:hAnsi="Calibri" w:cs="Calibri"/>
                <w:sz w:val="12"/>
                <w:szCs w:val="12"/>
                <w:lang w:val="en-US" w:eastAsia="en-US"/>
              </w:rPr>
            </w:pPr>
            <w:r>
              <w:rPr>
                <w:rFonts w:ascii="Calibri" w:eastAsia="Calibri" w:hAnsi="Calibri" w:cs="Calibri"/>
                <w:sz w:val="12"/>
                <w:szCs w:val="12"/>
              </w:rPr>
              <w:t>(Before N</w:t>
            </w:r>
            <w:r w:rsidRPr="0047424F">
              <w:rPr>
                <w:rFonts w:ascii="Calibri" w:eastAsia="Calibri" w:hAnsi="Calibri" w:cs="Calibri"/>
                <w:sz w:val="12"/>
                <w:szCs w:val="12"/>
              </w:rPr>
              <w:t xml:space="preserve">PDSCH to </w:t>
            </w:r>
            <w:r>
              <w:rPr>
                <w:rFonts w:ascii="Calibri" w:eastAsia="Calibri" w:hAnsi="Calibri" w:cs="Calibri"/>
                <w:sz w:val="12"/>
                <w:szCs w:val="12"/>
              </w:rPr>
              <w:t>NPUSCH Format 2</w:t>
            </w:r>
            <w:r w:rsidRPr="0047424F">
              <w:rPr>
                <w:rFonts w:ascii="Calibri" w:eastAsia="Calibri" w:hAnsi="Calibri" w:cs="Calibri"/>
                <w:sz w:val="12"/>
                <w:szCs w:val="12"/>
              </w:rPr>
              <w:t xml:space="preserve"> delay</w:t>
            </w:r>
            <w:r>
              <w:rPr>
                <w:rFonts w:ascii="Calibri" w:eastAsia="Calibri" w:hAnsi="Calibri" w:cs="Calibri"/>
                <w:sz w:val="12"/>
                <w:szCs w:val="12"/>
              </w:rPr>
              <w:t>)</w:t>
            </w: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3DEC329E" w14:textId="77777777" w:rsidR="009D7ED4" w:rsidRDefault="009D7ED4">
            <w:pPr>
              <w:rPr>
                <w:rFonts w:ascii="Calibri" w:hAnsi="Calibri" w:cs="Calibri"/>
                <w:sz w:val="12"/>
                <w:szCs w:val="12"/>
                <w:lang w:val="en-US" w:eastAsia="en-US"/>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295EBFA0" w14:textId="77777777" w:rsidR="009D7ED4" w:rsidRDefault="009D7ED4">
            <w:pPr>
              <w:rPr>
                <w:rFonts w:ascii="Calibri" w:hAnsi="Calibri" w:cs="Calibri"/>
                <w:sz w:val="12"/>
                <w:szCs w:val="12"/>
                <w:lang w:val="en-US" w:eastAsia="en-US"/>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32EA2A01" w14:textId="77777777" w:rsidR="009D7ED4" w:rsidRDefault="009D7ED4">
            <w:pPr>
              <w:rPr>
                <w:rFonts w:ascii="Calibri" w:hAnsi="Calibri" w:cs="Calibri"/>
                <w:sz w:val="12"/>
                <w:szCs w:val="12"/>
                <w:lang w:val="en-US" w:eastAsia="en-US"/>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5C5A29C6" w14:textId="77777777" w:rsidR="009D7ED4" w:rsidRDefault="009D7ED4">
            <w:pPr>
              <w:rPr>
                <w:rFonts w:ascii="Calibri" w:hAnsi="Calibri" w:cs="Calibri"/>
                <w:sz w:val="12"/>
                <w:szCs w:val="12"/>
                <w:lang w:val="en-US" w:eastAsia="en-US"/>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0A0180BA" w14:textId="77777777" w:rsidR="009D7ED4" w:rsidRDefault="009D7ED4">
            <w:pPr>
              <w:rPr>
                <w:rFonts w:ascii="Calibri" w:hAnsi="Calibri" w:cs="Calibri"/>
                <w:sz w:val="12"/>
                <w:szCs w:val="12"/>
                <w:lang w:val="en-US" w:eastAsia="en-US"/>
              </w:rPr>
            </w:pPr>
          </w:p>
        </w:tc>
        <w:tc>
          <w:tcPr>
            <w:tcW w:w="284" w:type="dxa"/>
            <w:tcBorders>
              <w:top w:val="nil"/>
              <w:left w:val="nil"/>
              <w:bottom w:val="single" w:sz="8" w:space="0" w:color="auto"/>
              <w:right w:val="single" w:sz="8" w:space="0" w:color="auto"/>
            </w:tcBorders>
            <w:tcMar>
              <w:top w:w="0" w:type="dxa"/>
              <w:left w:w="108" w:type="dxa"/>
              <w:bottom w:w="0" w:type="dxa"/>
              <w:right w:w="108" w:type="dxa"/>
            </w:tcMar>
          </w:tcPr>
          <w:p w14:paraId="76B41358" w14:textId="77777777" w:rsidR="009D7ED4" w:rsidRDefault="009D7ED4">
            <w:pPr>
              <w:rPr>
                <w:rFonts w:ascii="Calibri" w:hAnsi="Calibri" w:cs="Calibri"/>
                <w:sz w:val="12"/>
                <w:szCs w:val="12"/>
                <w:lang w:val="en-US" w:eastAsia="en-US"/>
              </w:rPr>
            </w:pPr>
          </w:p>
        </w:tc>
        <w:tc>
          <w:tcPr>
            <w:tcW w:w="285" w:type="dxa"/>
            <w:tcBorders>
              <w:top w:val="nil"/>
              <w:left w:val="nil"/>
              <w:bottom w:val="single" w:sz="8" w:space="0" w:color="auto"/>
              <w:right w:val="single" w:sz="8" w:space="0" w:color="auto"/>
            </w:tcBorders>
            <w:tcMar>
              <w:top w:w="0" w:type="dxa"/>
              <w:left w:w="108" w:type="dxa"/>
              <w:bottom w:w="0" w:type="dxa"/>
              <w:right w:w="108" w:type="dxa"/>
            </w:tcMar>
          </w:tcPr>
          <w:p w14:paraId="75570483" w14:textId="77777777" w:rsidR="009D7ED4" w:rsidRDefault="009D7ED4">
            <w:pPr>
              <w:rPr>
                <w:rFonts w:ascii="Calibri" w:hAnsi="Calibri" w:cs="Calibri"/>
                <w:sz w:val="12"/>
                <w:szCs w:val="12"/>
                <w:lang w:val="en-US" w:eastAsia="en-US"/>
              </w:rPr>
            </w:pPr>
          </w:p>
        </w:tc>
        <w:tc>
          <w:tcPr>
            <w:tcW w:w="284" w:type="dxa"/>
            <w:tcBorders>
              <w:top w:val="nil"/>
              <w:left w:val="nil"/>
              <w:bottom w:val="single" w:sz="8" w:space="0" w:color="auto"/>
              <w:right w:val="single" w:sz="8" w:space="0" w:color="auto"/>
            </w:tcBorders>
            <w:tcMar>
              <w:top w:w="0" w:type="dxa"/>
              <w:left w:w="108" w:type="dxa"/>
              <w:bottom w:w="0" w:type="dxa"/>
              <w:right w:w="108" w:type="dxa"/>
            </w:tcMar>
          </w:tcPr>
          <w:p w14:paraId="26550503" w14:textId="77777777" w:rsidR="009D7ED4" w:rsidRDefault="009D7ED4">
            <w:pPr>
              <w:rPr>
                <w:rFonts w:ascii="Calibri" w:hAnsi="Calibri" w:cs="Calibri"/>
                <w:sz w:val="12"/>
                <w:szCs w:val="12"/>
                <w:lang w:val="en-US" w:eastAsia="en-US"/>
              </w:rPr>
            </w:pPr>
          </w:p>
        </w:tc>
        <w:tc>
          <w:tcPr>
            <w:tcW w:w="285" w:type="dxa"/>
            <w:tcBorders>
              <w:top w:val="nil"/>
              <w:left w:val="nil"/>
              <w:bottom w:val="single" w:sz="8" w:space="0" w:color="auto"/>
              <w:right w:val="single" w:sz="8" w:space="0" w:color="auto"/>
            </w:tcBorders>
            <w:tcMar>
              <w:top w:w="0" w:type="dxa"/>
              <w:left w:w="108" w:type="dxa"/>
              <w:bottom w:w="0" w:type="dxa"/>
              <w:right w:w="108" w:type="dxa"/>
            </w:tcMar>
          </w:tcPr>
          <w:p w14:paraId="26ADFB77" w14:textId="77777777" w:rsidR="009D7ED4" w:rsidRDefault="009D7ED4">
            <w:pPr>
              <w:rPr>
                <w:rFonts w:ascii="Calibri" w:hAnsi="Calibri" w:cs="Calibri"/>
                <w:sz w:val="12"/>
                <w:szCs w:val="12"/>
                <w:lang w:val="en-US" w:eastAsia="en-US"/>
              </w:rPr>
            </w:pPr>
          </w:p>
        </w:tc>
        <w:tc>
          <w:tcPr>
            <w:tcW w:w="284" w:type="dxa"/>
            <w:tcBorders>
              <w:top w:val="nil"/>
              <w:left w:val="nil"/>
              <w:bottom w:val="single" w:sz="8" w:space="0" w:color="auto"/>
              <w:right w:val="single" w:sz="8" w:space="0" w:color="auto"/>
            </w:tcBorders>
            <w:tcMar>
              <w:top w:w="0" w:type="dxa"/>
              <w:left w:w="108" w:type="dxa"/>
              <w:bottom w:w="0" w:type="dxa"/>
              <w:right w:w="108" w:type="dxa"/>
            </w:tcMar>
          </w:tcPr>
          <w:p w14:paraId="7B94C09F" w14:textId="77777777" w:rsidR="009D7ED4" w:rsidRDefault="009D7ED4">
            <w:pPr>
              <w:rPr>
                <w:rFonts w:ascii="Calibri" w:hAnsi="Calibri" w:cs="Calibri"/>
                <w:sz w:val="12"/>
                <w:szCs w:val="12"/>
                <w:lang w:val="en-US" w:eastAsia="en-US"/>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14AE7D0A" w14:textId="77777777" w:rsidR="009D7ED4" w:rsidRDefault="009D7ED4">
            <w:pPr>
              <w:rPr>
                <w:rFonts w:ascii="Calibri" w:hAnsi="Calibri" w:cs="Calibri"/>
                <w:sz w:val="12"/>
                <w:szCs w:val="12"/>
                <w:lang w:val="en-US" w:eastAsia="en-US"/>
              </w:rPr>
            </w:pPr>
          </w:p>
        </w:tc>
        <w:tc>
          <w:tcPr>
            <w:tcW w:w="340" w:type="dxa"/>
            <w:tcBorders>
              <w:top w:val="nil"/>
              <w:left w:val="nil"/>
              <w:bottom w:val="single" w:sz="8" w:space="0" w:color="auto"/>
              <w:right w:val="single" w:sz="8" w:space="0" w:color="auto"/>
            </w:tcBorders>
            <w:tcMar>
              <w:top w:w="0" w:type="dxa"/>
              <w:left w:w="108" w:type="dxa"/>
              <w:bottom w:w="0" w:type="dxa"/>
              <w:right w:w="108" w:type="dxa"/>
            </w:tcMar>
          </w:tcPr>
          <w:p w14:paraId="04FFA40E" w14:textId="77777777" w:rsidR="009D7ED4" w:rsidRDefault="009D7ED4">
            <w:pPr>
              <w:rPr>
                <w:rFonts w:ascii="Calibri" w:hAnsi="Calibri" w:cs="Calibri"/>
                <w:sz w:val="12"/>
                <w:szCs w:val="12"/>
                <w:lang w:val="en-US" w:eastAsia="en-US"/>
              </w:rPr>
            </w:pPr>
          </w:p>
        </w:tc>
        <w:tc>
          <w:tcPr>
            <w:tcW w:w="340" w:type="dxa"/>
            <w:tcBorders>
              <w:top w:val="nil"/>
              <w:left w:val="nil"/>
              <w:bottom w:val="single" w:sz="8" w:space="0" w:color="auto"/>
              <w:right w:val="single" w:sz="8" w:space="0" w:color="auto"/>
            </w:tcBorders>
            <w:tcMar>
              <w:top w:w="0" w:type="dxa"/>
              <w:left w:w="108" w:type="dxa"/>
              <w:bottom w:w="0" w:type="dxa"/>
              <w:right w:w="108" w:type="dxa"/>
            </w:tcMar>
          </w:tcPr>
          <w:p w14:paraId="5E456222" w14:textId="77777777" w:rsidR="009D7ED4" w:rsidRDefault="009D7ED4">
            <w:pPr>
              <w:rPr>
                <w:rFonts w:ascii="Calibri" w:hAnsi="Calibri" w:cs="Calibri"/>
                <w:sz w:val="12"/>
                <w:szCs w:val="12"/>
                <w:lang w:val="en-US" w:eastAsia="en-US"/>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26D2A345" w14:textId="77777777" w:rsidR="009D7ED4" w:rsidRDefault="009D7ED4">
            <w:pPr>
              <w:rPr>
                <w:rFonts w:ascii="Calibri" w:hAnsi="Calibri" w:cs="Calibri"/>
                <w:sz w:val="12"/>
                <w:szCs w:val="12"/>
                <w:lang w:val="en-US" w:eastAsia="en-US"/>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79CE5DA3" w14:textId="77777777" w:rsidR="009D7ED4" w:rsidRDefault="009D7ED4">
            <w:pPr>
              <w:rPr>
                <w:rFonts w:ascii="Calibri" w:hAnsi="Calibri" w:cs="Calibri"/>
                <w:sz w:val="12"/>
                <w:szCs w:val="12"/>
                <w:lang w:val="en-US" w:eastAsia="en-US"/>
              </w:rPr>
            </w:pPr>
          </w:p>
        </w:tc>
        <w:tc>
          <w:tcPr>
            <w:tcW w:w="4056" w:type="dxa"/>
            <w:gridSpan w:val="12"/>
            <w:tcBorders>
              <w:top w:val="nil"/>
              <w:left w:val="nil"/>
              <w:bottom w:val="single" w:sz="8" w:space="0" w:color="FF0000"/>
              <w:right w:val="single" w:sz="8" w:space="0" w:color="auto"/>
            </w:tcBorders>
            <w:tcMar>
              <w:top w:w="0" w:type="dxa"/>
              <w:left w:w="108" w:type="dxa"/>
              <w:bottom w:w="0" w:type="dxa"/>
              <w:right w:w="108" w:type="dxa"/>
            </w:tcMar>
          </w:tcPr>
          <w:p w14:paraId="00183B40" w14:textId="0981F8FC" w:rsidR="009D7ED4" w:rsidRDefault="009D7ED4" w:rsidP="009D7ED4">
            <w:pPr>
              <w:jc w:val="center"/>
              <w:rPr>
                <w:rFonts w:ascii="Calibri" w:hAnsi="Calibri" w:cs="Calibri"/>
                <w:sz w:val="12"/>
                <w:szCs w:val="12"/>
                <w:lang w:val="en-US" w:eastAsia="en-US"/>
              </w:rPr>
            </w:pPr>
            <w:r>
              <w:rPr>
                <w:rFonts w:ascii="Calibri" w:hAnsi="Calibri" w:cs="Calibri"/>
                <w:sz w:val="12"/>
                <w:szCs w:val="12"/>
                <w:lang w:val="en-US" w:eastAsia="en-US"/>
              </w:rPr>
              <w:t>12ms</w:t>
            </w:r>
          </w:p>
        </w:tc>
        <w:tc>
          <w:tcPr>
            <w:tcW w:w="338" w:type="dxa"/>
            <w:tcBorders>
              <w:top w:val="nil"/>
              <w:left w:val="nil"/>
              <w:bottom w:val="single" w:sz="8" w:space="0" w:color="FF0000"/>
              <w:right w:val="single" w:sz="8" w:space="0" w:color="auto"/>
            </w:tcBorders>
            <w:tcMar>
              <w:top w:w="0" w:type="dxa"/>
              <w:left w:w="108" w:type="dxa"/>
              <w:bottom w:w="0" w:type="dxa"/>
              <w:right w:w="108" w:type="dxa"/>
            </w:tcMar>
          </w:tcPr>
          <w:p w14:paraId="3CA5BE12" w14:textId="77777777" w:rsidR="009D7ED4" w:rsidRDefault="009D7ED4">
            <w:pPr>
              <w:rPr>
                <w:rFonts w:ascii="Calibri" w:hAnsi="Calibri" w:cs="Calibri"/>
                <w:sz w:val="12"/>
                <w:szCs w:val="12"/>
                <w:lang w:val="en-US" w:eastAsia="en-US"/>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3D799EBE" w14:textId="77777777" w:rsidR="009D7ED4" w:rsidRDefault="009D7ED4">
            <w:pPr>
              <w:rPr>
                <w:rFonts w:ascii="Calibri" w:hAnsi="Calibri" w:cs="Calibri"/>
                <w:sz w:val="12"/>
                <w:szCs w:val="12"/>
                <w:lang w:val="en-US" w:eastAsia="en-US"/>
              </w:rPr>
            </w:pPr>
          </w:p>
        </w:tc>
      </w:tr>
      <w:tr w:rsidR="00B32EE3" w14:paraId="6B8371F1" w14:textId="77777777" w:rsidTr="00B32EE3">
        <w:tc>
          <w:tcPr>
            <w:tcW w:w="8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198E41" w14:textId="77777777" w:rsidR="00B32EE3" w:rsidRDefault="00B32EE3">
            <w:pPr>
              <w:rPr>
                <w:rFonts w:ascii="Calibri" w:hAnsi="Calibri" w:cs="Calibri"/>
                <w:sz w:val="12"/>
                <w:szCs w:val="12"/>
                <w:lang w:val="en-US" w:eastAsia="en-US"/>
              </w:rPr>
            </w:pPr>
            <w:r>
              <w:rPr>
                <w:rFonts w:ascii="Calibri" w:hAnsi="Calibri" w:cs="Calibri"/>
                <w:color w:val="FF0000"/>
                <w:sz w:val="12"/>
                <w:szCs w:val="12"/>
              </w:rPr>
              <w:t xml:space="preserve">Propagation delay in </w:t>
            </w:r>
            <w:r>
              <w:rPr>
                <w:rFonts w:ascii="Calibri" w:hAnsi="Calibri" w:cs="Calibri"/>
                <w:color w:val="FF0000"/>
                <w:sz w:val="12"/>
                <w:szCs w:val="12"/>
                <w:lang w:val="en-US"/>
              </w:rPr>
              <w:t>D</w:t>
            </w:r>
            <w:r>
              <w:rPr>
                <w:rFonts w:ascii="Calibri" w:hAnsi="Calibri" w:cs="Calibri"/>
                <w:color w:val="FF0000"/>
                <w:sz w:val="12"/>
                <w:szCs w:val="12"/>
              </w:rPr>
              <w:t>L direction</w:t>
            </w: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04730EA9" w14:textId="77777777" w:rsidR="00B32EE3" w:rsidRDefault="00B32EE3">
            <w:pPr>
              <w:rPr>
                <w:rFonts w:ascii="Calibri" w:hAnsi="Calibri" w:cs="Calibri"/>
                <w:sz w:val="12"/>
                <w:szCs w:val="12"/>
                <w:lang w:val="en-US" w:eastAsia="en-US"/>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4D0621F7" w14:textId="77777777" w:rsidR="00B32EE3" w:rsidRDefault="00B32EE3">
            <w:pPr>
              <w:rPr>
                <w:rFonts w:ascii="Calibri" w:hAnsi="Calibri" w:cs="Calibri"/>
                <w:sz w:val="12"/>
                <w:szCs w:val="12"/>
                <w:lang w:val="en-US" w:eastAsia="en-US"/>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7F51DFE3" w14:textId="77777777" w:rsidR="00B32EE3" w:rsidRDefault="00B32EE3">
            <w:pPr>
              <w:rPr>
                <w:rFonts w:ascii="Calibri" w:hAnsi="Calibri" w:cs="Calibri"/>
                <w:sz w:val="12"/>
                <w:szCs w:val="12"/>
                <w:lang w:val="en-US" w:eastAsia="en-US"/>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0306FB88" w14:textId="77777777" w:rsidR="00B32EE3" w:rsidRDefault="00B32EE3">
            <w:pPr>
              <w:rPr>
                <w:rFonts w:ascii="Calibri" w:hAnsi="Calibri" w:cs="Calibri"/>
                <w:sz w:val="12"/>
                <w:szCs w:val="12"/>
                <w:lang w:val="en-US" w:eastAsia="en-US"/>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3DEC51D2" w14:textId="77777777" w:rsidR="00B32EE3" w:rsidRDefault="00B32EE3">
            <w:pPr>
              <w:rPr>
                <w:rFonts w:ascii="Calibri" w:hAnsi="Calibri" w:cs="Calibri"/>
                <w:sz w:val="12"/>
                <w:szCs w:val="12"/>
                <w:lang w:val="en-US" w:eastAsia="en-US"/>
              </w:rPr>
            </w:pPr>
          </w:p>
        </w:tc>
        <w:tc>
          <w:tcPr>
            <w:tcW w:w="284" w:type="dxa"/>
            <w:tcBorders>
              <w:top w:val="nil"/>
              <w:left w:val="nil"/>
              <w:bottom w:val="single" w:sz="8" w:space="0" w:color="auto"/>
              <w:right w:val="single" w:sz="8" w:space="0" w:color="auto"/>
            </w:tcBorders>
            <w:tcMar>
              <w:top w:w="0" w:type="dxa"/>
              <w:left w:w="108" w:type="dxa"/>
              <w:bottom w:w="0" w:type="dxa"/>
              <w:right w:w="108" w:type="dxa"/>
            </w:tcMar>
          </w:tcPr>
          <w:p w14:paraId="2E0BAEB9" w14:textId="77777777" w:rsidR="00B32EE3" w:rsidRDefault="00B32EE3">
            <w:pPr>
              <w:rPr>
                <w:rFonts w:ascii="Calibri" w:hAnsi="Calibri" w:cs="Calibri"/>
                <w:sz w:val="12"/>
                <w:szCs w:val="12"/>
                <w:lang w:val="en-US" w:eastAsia="en-US"/>
              </w:rPr>
            </w:pPr>
          </w:p>
        </w:tc>
        <w:tc>
          <w:tcPr>
            <w:tcW w:w="285" w:type="dxa"/>
            <w:tcBorders>
              <w:top w:val="nil"/>
              <w:left w:val="nil"/>
              <w:bottom w:val="single" w:sz="8" w:space="0" w:color="auto"/>
              <w:right w:val="single" w:sz="8" w:space="0" w:color="auto"/>
            </w:tcBorders>
            <w:tcMar>
              <w:top w:w="0" w:type="dxa"/>
              <w:left w:w="108" w:type="dxa"/>
              <w:bottom w:w="0" w:type="dxa"/>
              <w:right w:w="108" w:type="dxa"/>
            </w:tcMar>
          </w:tcPr>
          <w:p w14:paraId="113AB9FD" w14:textId="77777777" w:rsidR="00B32EE3" w:rsidRDefault="00B32EE3">
            <w:pPr>
              <w:rPr>
                <w:rFonts w:ascii="Calibri" w:hAnsi="Calibri" w:cs="Calibri"/>
                <w:sz w:val="12"/>
                <w:szCs w:val="12"/>
                <w:lang w:val="en-US" w:eastAsia="en-US"/>
              </w:rPr>
            </w:pPr>
          </w:p>
        </w:tc>
        <w:tc>
          <w:tcPr>
            <w:tcW w:w="284" w:type="dxa"/>
            <w:tcBorders>
              <w:top w:val="nil"/>
              <w:left w:val="nil"/>
              <w:bottom w:val="single" w:sz="8" w:space="0" w:color="auto"/>
              <w:right w:val="single" w:sz="8" w:space="0" w:color="auto"/>
            </w:tcBorders>
            <w:tcMar>
              <w:top w:w="0" w:type="dxa"/>
              <w:left w:w="108" w:type="dxa"/>
              <w:bottom w:w="0" w:type="dxa"/>
              <w:right w:w="108" w:type="dxa"/>
            </w:tcMar>
          </w:tcPr>
          <w:p w14:paraId="14FDDD07" w14:textId="77777777" w:rsidR="00B32EE3" w:rsidRDefault="00B32EE3">
            <w:pPr>
              <w:rPr>
                <w:rFonts w:ascii="Calibri" w:hAnsi="Calibri" w:cs="Calibri"/>
                <w:sz w:val="12"/>
                <w:szCs w:val="12"/>
                <w:lang w:val="en-US" w:eastAsia="en-US"/>
              </w:rPr>
            </w:pPr>
          </w:p>
        </w:tc>
        <w:tc>
          <w:tcPr>
            <w:tcW w:w="285" w:type="dxa"/>
            <w:tcBorders>
              <w:top w:val="nil"/>
              <w:left w:val="nil"/>
              <w:bottom w:val="single" w:sz="8" w:space="0" w:color="auto"/>
              <w:right w:val="single" w:sz="8" w:space="0" w:color="auto"/>
            </w:tcBorders>
            <w:tcMar>
              <w:top w:w="0" w:type="dxa"/>
              <w:left w:w="108" w:type="dxa"/>
              <w:bottom w:w="0" w:type="dxa"/>
              <w:right w:w="108" w:type="dxa"/>
            </w:tcMar>
          </w:tcPr>
          <w:p w14:paraId="6A151F45" w14:textId="77777777" w:rsidR="00B32EE3" w:rsidRDefault="00B32EE3">
            <w:pPr>
              <w:rPr>
                <w:rFonts w:ascii="Calibri" w:hAnsi="Calibri" w:cs="Calibri"/>
                <w:sz w:val="12"/>
                <w:szCs w:val="12"/>
                <w:lang w:val="en-US" w:eastAsia="en-US"/>
              </w:rPr>
            </w:pPr>
          </w:p>
        </w:tc>
        <w:tc>
          <w:tcPr>
            <w:tcW w:w="284" w:type="dxa"/>
            <w:tcBorders>
              <w:top w:val="nil"/>
              <w:left w:val="nil"/>
              <w:bottom w:val="single" w:sz="8" w:space="0" w:color="auto"/>
              <w:right w:val="single" w:sz="8" w:space="0" w:color="auto"/>
            </w:tcBorders>
            <w:tcMar>
              <w:top w:w="0" w:type="dxa"/>
              <w:left w:w="108" w:type="dxa"/>
              <w:bottom w:w="0" w:type="dxa"/>
              <w:right w:w="108" w:type="dxa"/>
            </w:tcMar>
          </w:tcPr>
          <w:p w14:paraId="475D9014" w14:textId="77777777" w:rsidR="00B32EE3" w:rsidRDefault="00B32EE3">
            <w:pPr>
              <w:rPr>
                <w:rFonts w:ascii="Calibri" w:hAnsi="Calibri" w:cs="Calibri"/>
                <w:sz w:val="12"/>
                <w:szCs w:val="12"/>
                <w:lang w:val="en-US" w:eastAsia="en-US"/>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6B6D2C53" w14:textId="77777777" w:rsidR="00B32EE3" w:rsidRDefault="00B32EE3">
            <w:pPr>
              <w:rPr>
                <w:rFonts w:ascii="Calibri" w:hAnsi="Calibri" w:cs="Calibri"/>
                <w:sz w:val="12"/>
                <w:szCs w:val="12"/>
                <w:lang w:val="en-US" w:eastAsia="en-US"/>
              </w:rPr>
            </w:pPr>
          </w:p>
        </w:tc>
        <w:tc>
          <w:tcPr>
            <w:tcW w:w="340" w:type="dxa"/>
            <w:tcBorders>
              <w:top w:val="nil"/>
              <w:left w:val="nil"/>
              <w:bottom w:val="single" w:sz="8" w:space="0" w:color="auto"/>
              <w:right w:val="single" w:sz="8" w:space="0" w:color="auto"/>
            </w:tcBorders>
            <w:tcMar>
              <w:top w:w="0" w:type="dxa"/>
              <w:left w:w="108" w:type="dxa"/>
              <w:bottom w:w="0" w:type="dxa"/>
              <w:right w:w="108" w:type="dxa"/>
            </w:tcMar>
          </w:tcPr>
          <w:p w14:paraId="564A5CEB" w14:textId="77777777" w:rsidR="00B32EE3" w:rsidRDefault="00B32EE3">
            <w:pPr>
              <w:rPr>
                <w:rFonts w:ascii="Calibri" w:hAnsi="Calibri" w:cs="Calibri"/>
                <w:sz w:val="12"/>
                <w:szCs w:val="12"/>
                <w:lang w:val="en-US" w:eastAsia="en-US"/>
              </w:rPr>
            </w:pPr>
          </w:p>
        </w:tc>
        <w:tc>
          <w:tcPr>
            <w:tcW w:w="340" w:type="dxa"/>
            <w:tcBorders>
              <w:top w:val="nil"/>
              <w:left w:val="nil"/>
              <w:bottom w:val="single" w:sz="8" w:space="0" w:color="auto"/>
              <w:right w:val="single" w:sz="8" w:space="0" w:color="auto"/>
            </w:tcBorders>
            <w:tcMar>
              <w:top w:w="0" w:type="dxa"/>
              <w:left w:w="108" w:type="dxa"/>
              <w:bottom w:w="0" w:type="dxa"/>
              <w:right w:w="108" w:type="dxa"/>
            </w:tcMar>
          </w:tcPr>
          <w:p w14:paraId="7DDB8B71" w14:textId="77777777" w:rsidR="00B32EE3" w:rsidRDefault="00B32EE3">
            <w:pPr>
              <w:rPr>
                <w:rFonts w:ascii="Calibri" w:hAnsi="Calibri" w:cs="Calibri"/>
                <w:sz w:val="12"/>
                <w:szCs w:val="12"/>
                <w:lang w:val="en-US" w:eastAsia="en-US"/>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6A8179B7" w14:textId="77777777" w:rsidR="00B32EE3" w:rsidRDefault="00B32EE3">
            <w:pPr>
              <w:rPr>
                <w:rFonts w:ascii="Calibri" w:hAnsi="Calibri" w:cs="Calibri"/>
                <w:sz w:val="12"/>
                <w:szCs w:val="12"/>
                <w:lang w:val="en-US" w:eastAsia="en-US"/>
              </w:rPr>
            </w:pPr>
          </w:p>
        </w:tc>
        <w:tc>
          <w:tcPr>
            <w:tcW w:w="338" w:type="dxa"/>
            <w:tcBorders>
              <w:top w:val="nil"/>
              <w:left w:val="nil"/>
              <w:bottom w:val="single" w:sz="8" w:space="0" w:color="auto"/>
              <w:right w:val="single" w:sz="8" w:space="0" w:color="FF0000"/>
            </w:tcBorders>
            <w:tcMar>
              <w:top w:w="0" w:type="dxa"/>
              <w:left w:w="108" w:type="dxa"/>
              <w:bottom w:w="0" w:type="dxa"/>
              <w:right w:w="108" w:type="dxa"/>
            </w:tcMar>
          </w:tcPr>
          <w:p w14:paraId="04275181" w14:textId="77777777" w:rsidR="00B32EE3" w:rsidRDefault="00B32EE3">
            <w:pPr>
              <w:rPr>
                <w:rFonts w:ascii="Calibri" w:hAnsi="Calibri" w:cs="Calibri"/>
                <w:sz w:val="12"/>
                <w:szCs w:val="12"/>
                <w:lang w:val="en-US" w:eastAsia="en-US"/>
              </w:rPr>
            </w:pPr>
          </w:p>
        </w:tc>
        <w:tc>
          <w:tcPr>
            <w:tcW w:w="4394" w:type="dxa"/>
            <w:gridSpan w:val="13"/>
            <w:tcBorders>
              <w:top w:val="nil"/>
              <w:left w:val="nil"/>
              <w:bottom w:val="single" w:sz="8" w:space="0" w:color="FF0000"/>
              <w:right w:val="single" w:sz="8" w:space="0" w:color="FF0000"/>
            </w:tcBorders>
            <w:tcMar>
              <w:top w:w="0" w:type="dxa"/>
              <w:left w:w="108" w:type="dxa"/>
              <w:bottom w:w="0" w:type="dxa"/>
              <w:right w:w="108" w:type="dxa"/>
            </w:tcMar>
            <w:hideMark/>
          </w:tcPr>
          <w:p w14:paraId="736E642D" w14:textId="48988446" w:rsidR="00B32EE3" w:rsidRDefault="00B32EE3">
            <w:pPr>
              <w:jc w:val="center"/>
              <w:rPr>
                <w:rFonts w:ascii="Calibri" w:hAnsi="Calibri" w:cs="Calibri"/>
                <w:color w:val="FF0000"/>
                <w:sz w:val="12"/>
                <w:szCs w:val="12"/>
              </w:rPr>
            </w:pPr>
            <w:r>
              <w:rPr>
                <w:rFonts w:ascii="Calibri" w:hAnsi="Calibri" w:cs="Calibri"/>
                <w:color w:val="FF0000"/>
                <w:sz w:val="12"/>
                <w:szCs w:val="12"/>
              </w:rPr>
              <w:t>Delay at min elevation/2 = 26ms/2 = 13ms</w:t>
            </w:r>
            <w:r>
              <w:rPr>
                <w:rFonts w:ascii="Calibri" w:hAnsi="Calibri" w:cs="Calibri"/>
                <w:sz w:val="12"/>
                <w:szCs w:val="12"/>
                <w:lang w:val="en-US" w:eastAsia="en-US"/>
              </w:rPr>
              <w:t>, where 12 out of 13 subframes overlap the 12 subframes that allow sufficient NPDSCH decoding time</w:t>
            </w: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6D0619E4" w14:textId="77777777" w:rsidR="00B32EE3" w:rsidRDefault="00B32EE3">
            <w:pPr>
              <w:rPr>
                <w:rFonts w:ascii="Calibri" w:hAnsi="Calibri" w:cs="Calibri"/>
                <w:sz w:val="12"/>
                <w:szCs w:val="12"/>
                <w:lang w:val="en-US" w:eastAsia="en-US"/>
              </w:rPr>
            </w:pPr>
          </w:p>
        </w:tc>
      </w:tr>
    </w:tbl>
    <w:p w14:paraId="2CB7116E" w14:textId="77777777" w:rsidR="00B32EE3" w:rsidRDefault="00B32EE3" w:rsidP="00B32EE3">
      <w:pPr>
        <w:ind w:left="720"/>
        <w:rPr>
          <w:rFonts w:ascii="Calibri" w:eastAsiaTheme="minorHAnsi" w:hAnsi="Calibri" w:cs="Calibri"/>
          <w:sz w:val="12"/>
          <w:szCs w:val="12"/>
          <w:lang w:val="en-US" w:eastAsia="en-US"/>
        </w:rPr>
      </w:pPr>
    </w:p>
    <w:p w14:paraId="337095D9" w14:textId="50885453" w:rsidR="007064A5" w:rsidRDefault="00C16A3C" w:rsidP="00C02C0C">
      <w:pPr>
        <w:jc w:val="both"/>
      </w:pPr>
      <w:r>
        <w:t xml:space="preserve">In </w:t>
      </w:r>
      <w:r w:rsidRPr="001D6906">
        <w:t xml:space="preserve">our understanding the gain </w:t>
      </w:r>
      <w:r>
        <w:t xml:space="preserve">of the disabling approach </w:t>
      </w:r>
      <w:r w:rsidRPr="001D6906">
        <w:t xml:space="preserve">mainly comes from avoiding the “propagation delay in the uplink direction” due to not transmitting ACK/NACK via </w:t>
      </w:r>
      <w:r>
        <w:t>NPUSCH Format 2</w:t>
      </w:r>
      <w:r w:rsidRPr="001D6906">
        <w:t>, plus the ability to receive the subsequent NPDCCH scheduling data as soon as DL monitoring is allowed</w:t>
      </w:r>
      <w:r>
        <w:t xml:space="preserve"> (i.e., 12 </w:t>
      </w:r>
      <w:proofErr w:type="spellStart"/>
      <w:r>
        <w:t>ms</w:t>
      </w:r>
      <w:proofErr w:type="spellEnd"/>
      <w:r>
        <w:t xml:space="preserve"> after the end of the NPDSCH transmission as to allow for sufficient decoding time).</w:t>
      </w:r>
    </w:p>
    <w:sectPr w:rsidR="007064A5" w:rsidSect="007F4FA6">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06753" w14:textId="77777777" w:rsidR="00872CB2" w:rsidRDefault="00872CB2">
      <w:r>
        <w:separator/>
      </w:r>
    </w:p>
  </w:endnote>
  <w:endnote w:type="continuationSeparator" w:id="0">
    <w:p w14:paraId="5A603327" w14:textId="77777777" w:rsidR="00872CB2" w:rsidRDefault="00872CB2">
      <w:r>
        <w:continuationSeparator/>
      </w:r>
    </w:p>
  </w:endnote>
  <w:endnote w:type="continuationNotice" w:id="1">
    <w:p w14:paraId="40222B83" w14:textId="77777777" w:rsidR="00872CB2" w:rsidRDefault="00872C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76107" w14:textId="77777777" w:rsidR="00872CB2" w:rsidRDefault="00872CB2">
      <w:r>
        <w:separator/>
      </w:r>
    </w:p>
  </w:footnote>
  <w:footnote w:type="continuationSeparator" w:id="0">
    <w:p w14:paraId="02E80681" w14:textId="77777777" w:rsidR="00872CB2" w:rsidRDefault="00872CB2">
      <w:r>
        <w:continuationSeparator/>
      </w:r>
    </w:p>
  </w:footnote>
  <w:footnote w:type="continuationNotice" w:id="1">
    <w:p w14:paraId="44680636" w14:textId="77777777" w:rsidR="00872CB2" w:rsidRDefault="00872C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4CF09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8EA8E12"/>
    <w:lvl w:ilvl="0">
      <w:start w:val="1"/>
      <w:numFmt w:val="decimal"/>
      <w:lvlText w:val="%1."/>
      <w:lvlJc w:val="left"/>
      <w:pPr>
        <w:tabs>
          <w:tab w:val="num" w:pos="1440"/>
        </w:tabs>
        <w:ind w:left="1440" w:hanging="360"/>
      </w:pPr>
    </w:lvl>
  </w:abstractNum>
  <w:abstractNum w:abstractNumId="2"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3" w15:restartNumberingAfterBreak="0">
    <w:nsid w:val="01F83CAD"/>
    <w:multiLevelType w:val="hybridMultilevel"/>
    <w:tmpl w:val="F834A67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79E6512"/>
    <w:multiLevelType w:val="hybridMultilevel"/>
    <w:tmpl w:val="3C669F9A"/>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5" w15:restartNumberingAfterBreak="0">
    <w:nsid w:val="08247C8D"/>
    <w:multiLevelType w:val="hybridMultilevel"/>
    <w:tmpl w:val="F60A9F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AE6563B"/>
    <w:multiLevelType w:val="hybridMultilevel"/>
    <w:tmpl w:val="CB6C9F1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4B4E30"/>
    <w:multiLevelType w:val="hybridMultilevel"/>
    <w:tmpl w:val="815C441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9"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0" w15:restartNumberingAfterBreak="0">
    <w:nsid w:val="12B56626"/>
    <w:multiLevelType w:val="hybridMultilevel"/>
    <w:tmpl w:val="17FA58F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1" w15:restartNumberingAfterBreak="0">
    <w:nsid w:val="17346BB7"/>
    <w:multiLevelType w:val="hybridMultilevel"/>
    <w:tmpl w:val="2168D79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2"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06C7EAC"/>
    <w:multiLevelType w:val="hybridMultilevel"/>
    <w:tmpl w:val="A178EB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CD64FF8"/>
    <w:multiLevelType w:val="hybridMultilevel"/>
    <w:tmpl w:val="3C84F614"/>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15:restartNumberingAfterBreak="0">
    <w:nsid w:val="2CF56A84"/>
    <w:multiLevelType w:val="hybridMultilevel"/>
    <w:tmpl w:val="26C84D3A"/>
    <w:lvl w:ilvl="0" w:tplc="22043D1C">
      <w:start w:val="1"/>
      <w:numFmt w:val="bullet"/>
      <w:lvlText w:val=""/>
      <w:lvlJc w:val="left"/>
      <w:pPr>
        <w:tabs>
          <w:tab w:val="num" w:pos="360"/>
        </w:tabs>
        <w:ind w:left="360" w:hanging="360"/>
      </w:pPr>
      <w:rPr>
        <w:rFonts w:ascii="Symbol" w:hAnsi="Symbol" w:hint="default"/>
      </w:rPr>
    </w:lvl>
    <w:lvl w:ilvl="1" w:tplc="B66E2EDC">
      <w:numFmt w:val="bullet"/>
      <w:lvlText w:val="o"/>
      <w:lvlJc w:val="left"/>
      <w:pPr>
        <w:tabs>
          <w:tab w:val="num" w:pos="1080"/>
        </w:tabs>
        <w:ind w:left="1080" w:hanging="360"/>
      </w:pPr>
      <w:rPr>
        <w:rFonts w:ascii="Courier New" w:hAnsi="Courier New" w:cs="Times New Roman" w:hint="default"/>
      </w:rPr>
    </w:lvl>
    <w:lvl w:ilvl="2" w:tplc="02745814">
      <w:numFmt w:val="bullet"/>
      <w:lvlText w:val=""/>
      <w:lvlJc w:val="left"/>
      <w:pPr>
        <w:tabs>
          <w:tab w:val="num" w:pos="1800"/>
        </w:tabs>
        <w:ind w:left="1800" w:hanging="360"/>
      </w:pPr>
      <w:rPr>
        <w:rFonts w:ascii="Wingdings" w:hAnsi="Wingdings" w:hint="default"/>
      </w:rPr>
    </w:lvl>
    <w:lvl w:ilvl="3" w:tplc="8BB41202">
      <w:start w:val="1"/>
      <w:numFmt w:val="bullet"/>
      <w:lvlText w:val=""/>
      <w:lvlJc w:val="left"/>
      <w:pPr>
        <w:tabs>
          <w:tab w:val="num" w:pos="2520"/>
        </w:tabs>
        <w:ind w:left="2520" w:hanging="360"/>
      </w:pPr>
      <w:rPr>
        <w:rFonts w:ascii="Symbol" w:hAnsi="Symbol" w:hint="default"/>
      </w:rPr>
    </w:lvl>
    <w:lvl w:ilvl="4" w:tplc="21FAD7A6">
      <w:start w:val="1"/>
      <w:numFmt w:val="bullet"/>
      <w:lvlText w:val=""/>
      <w:lvlJc w:val="left"/>
      <w:pPr>
        <w:tabs>
          <w:tab w:val="num" w:pos="3240"/>
        </w:tabs>
        <w:ind w:left="3240" w:hanging="360"/>
      </w:pPr>
      <w:rPr>
        <w:rFonts w:ascii="Symbol" w:hAnsi="Symbol" w:hint="default"/>
      </w:rPr>
    </w:lvl>
    <w:lvl w:ilvl="5" w:tplc="7982CBF0">
      <w:start w:val="1"/>
      <w:numFmt w:val="bullet"/>
      <w:lvlText w:val=""/>
      <w:lvlJc w:val="left"/>
      <w:pPr>
        <w:tabs>
          <w:tab w:val="num" w:pos="3960"/>
        </w:tabs>
        <w:ind w:left="3960" w:hanging="360"/>
      </w:pPr>
      <w:rPr>
        <w:rFonts w:ascii="Symbol" w:hAnsi="Symbol" w:hint="default"/>
      </w:rPr>
    </w:lvl>
    <w:lvl w:ilvl="6" w:tplc="33B62E8A">
      <w:start w:val="1"/>
      <w:numFmt w:val="bullet"/>
      <w:lvlText w:val=""/>
      <w:lvlJc w:val="left"/>
      <w:pPr>
        <w:tabs>
          <w:tab w:val="num" w:pos="4680"/>
        </w:tabs>
        <w:ind w:left="4680" w:hanging="360"/>
      </w:pPr>
      <w:rPr>
        <w:rFonts w:ascii="Symbol" w:hAnsi="Symbol" w:hint="default"/>
      </w:rPr>
    </w:lvl>
    <w:lvl w:ilvl="7" w:tplc="D104083C">
      <w:start w:val="1"/>
      <w:numFmt w:val="bullet"/>
      <w:lvlText w:val=""/>
      <w:lvlJc w:val="left"/>
      <w:pPr>
        <w:tabs>
          <w:tab w:val="num" w:pos="5400"/>
        </w:tabs>
        <w:ind w:left="5400" w:hanging="360"/>
      </w:pPr>
      <w:rPr>
        <w:rFonts w:ascii="Symbol" w:hAnsi="Symbol" w:hint="default"/>
      </w:rPr>
    </w:lvl>
    <w:lvl w:ilvl="8" w:tplc="240C4D26">
      <w:start w:val="1"/>
      <w:numFmt w:val="bullet"/>
      <w:lvlText w:val=""/>
      <w:lvlJc w:val="left"/>
      <w:pPr>
        <w:tabs>
          <w:tab w:val="num" w:pos="6120"/>
        </w:tabs>
        <w:ind w:left="6120" w:hanging="360"/>
      </w:pPr>
      <w:rPr>
        <w:rFonts w:ascii="Symbol" w:hAnsi="Symbol" w:hint="default"/>
      </w:rPr>
    </w:lvl>
  </w:abstractNum>
  <w:abstractNum w:abstractNumId="18" w15:restartNumberingAfterBreak="0">
    <w:nsid w:val="2DE56EF5"/>
    <w:multiLevelType w:val="hybridMultilevel"/>
    <w:tmpl w:val="0B6219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6301167"/>
    <w:multiLevelType w:val="hybridMultilevel"/>
    <w:tmpl w:val="AA7609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EA40C3"/>
    <w:multiLevelType w:val="hybridMultilevel"/>
    <w:tmpl w:val="7F76774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4" w15:restartNumberingAfterBreak="0">
    <w:nsid w:val="47BA5CD8"/>
    <w:multiLevelType w:val="hybridMultilevel"/>
    <w:tmpl w:val="C8529896"/>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5"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B114A7"/>
    <w:multiLevelType w:val="hybridMultilevel"/>
    <w:tmpl w:val="2426263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8"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1267EF"/>
    <w:multiLevelType w:val="hybridMultilevel"/>
    <w:tmpl w:val="32205E1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D83C5A"/>
    <w:multiLevelType w:val="hybridMultilevel"/>
    <w:tmpl w:val="D1FC3D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6F486BA6"/>
    <w:multiLevelType w:val="hybridMultilevel"/>
    <w:tmpl w:val="1736CCF0"/>
    <w:lvl w:ilvl="0" w:tplc="041D0001">
      <w:start w:val="1"/>
      <w:numFmt w:val="bullet"/>
      <w:lvlText w:val=""/>
      <w:lvlJc w:val="left"/>
      <w:pPr>
        <w:ind w:left="2423" w:hanging="360"/>
      </w:pPr>
      <w:rPr>
        <w:rFonts w:ascii="Symbol" w:hAnsi="Symbol" w:hint="default"/>
      </w:rPr>
    </w:lvl>
    <w:lvl w:ilvl="1" w:tplc="041D0003" w:tentative="1">
      <w:start w:val="1"/>
      <w:numFmt w:val="bullet"/>
      <w:lvlText w:val="o"/>
      <w:lvlJc w:val="left"/>
      <w:pPr>
        <w:ind w:left="3143" w:hanging="360"/>
      </w:pPr>
      <w:rPr>
        <w:rFonts w:ascii="Courier New" w:hAnsi="Courier New" w:cs="Courier New" w:hint="default"/>
      </w:rPr>
    </w:lvl>
    <w:lvl w:ilvl="2" w:tplc="041D0005" w:tentative="1">
      <w:start w:val="1"/>
      <w:numFmt w:val="bullet"/>
      <w:lvlText w:val=""/>
      <w:lvlJc w:val="left"/>
      <w:pPr>
        <w:ind w:left="3863" w:hanging="360"/>
      </w:pPr>
      <w:rPr>
        <w:rFonts w:ascii="Wingdings" w:hAnsi="Wingdings" w:hint="default"/>
      </w:rPr>
    </w:lvl>
    <w:lvl w:ilvl="3" w:tplc="041D0001" w:tentative="1">
      <w:start w:val="1"/>
      <w:numFmt w:val="bullet"/>
      <w:lvlText w:val=""/>
      <w:lvlJc w:val="left"/>
      <w:pPr>
        <w:ind w:left="4583" w:hanging="360"/>
      </w:pPr>
      <w:rPr>
        <w:rFonts w:ascii="Symbol" w:hAnsi="Symbol" w:hint="default"/>
      </w:rPr>
    </w:lvl>
    <w:lvl w:ilvl="4" w:tplc="041D0003" w:tentative="1">
      <w:start w:val="1"/>
      <w:numFmt w:val="bullet"/>
      <w:lvlText w:val="o"/>
      <w:lvlJc w:val="left"/>
      <w:pPr>
        <w:ind w:left="5303" w:hanging="360"/>
      </w:pPr>
      <w:rPr>
        <w:rFonts w:ascii="Courier New" w:hAnsi="Courier New" w:cs="Courier New" w:hint="default"/>
      </w:rPr>
    </w:lvl>
    <w:lvl w:ilvl="5" w:tplc="041D0005" w:tentative="1">
      <w:start w:val="1"/>
      <w:numFmt w:val="bullet"/>
      <w:lvlText w:val=""/>
      <w:lvlJc w:val="left"/>
      <w:pPr>
        <w:ind w:left="6023" w:hanging="360"/>
      </w:pPr>
      <w:rPr>
        <w:rFonts w:ascii="Wingdings" w:hAnsi="Wingdings" w:hint="default"/>
      </w:rPr>
    </w:lvl>
    <w:lvl w:ilvl="6" w:tplc="041D0001" w:tentative="1">
      <w:start w:val="1"/>
      <w:numFmt w:val="bullet"/>
      <w:lvlText w:val=""/>
      <w:lvlJc w:val="left"/>
      <w:pPr>
        <w:ind w:left="6743" w:hanging="360"/>
      </w:pPr>
      <w:rPr>
        <w:rFonts w:ascii="Symbol" w:hAnsi="Symbol" w:hint="default"/>
      </w:rPr>
    </w:lvl>
    <w:lvl w:ilvl="7" w:tplc="041D0003" w:tentative="1">
      <w:start w:val="1"/>
      <w:numFmt w:val="bullet"/>
      <w:lvlText w:val="o"/>
      <w:lvlJc w:val="left"/>
      <w:pPr>
        <w:ind w:left="7463" w:hanging="360"/>
      </w:pPr>
      <w:rPr>
        <w:rFonts w:ascii="Courier New" w:hAnsi="Courier New" w:cs="Courier New" w:hint="default"/>
      </w:rPr>
    </w:lvl>
    <w:lvl w:ilvl="8" w:tplc="041D0005" w:tentative="1">
      <w:start w:val="1"/>
      <w:numFmt w:val="bullet"/>
      <w:lvlText w:val=""/>
      <w:lvlJc w:val="left"/>
      <w:pPr>
        <w:ind w:left="8183"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C5766F"/>
    <w:multiLevelType w:val="multilevel"/>
    <w:tmpl w:val="B050698A"/>
    <w:lvl w:ilvl="0">
      <w:start w:val="1"/>
      <w:numFmt w:val="decimal"/>
      <w:lvlRestart w:val="0"/>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6"/>
  </w:num>
  <w:num w:numId="2">
    <w:abstractNumId w:val="22"/>
  </w:num>
  <w:num w:numId="3">
    <w:abstractNumId w:val="2"/>
  </w:num>
  <w:num w:numId="4">
    <w:abstractNumId w:val="28"/>
  </w:num>
  <w:num w:numId="5">
    <w:abstractNumId w:val="30"/>
  </w:num>
  <w:num w:numId="6">
    <w:abstractNumId w:val="32"/>
  </w:num>
  <w:num w:numId="7">
    <w:abstractNumId w:val="13"/>
  </w:num>
  <w:num w:numId="8">
    <w:abstractNumId w:val="15"/>
  </w:num>
  <w:num w:numId="9">
    <w:abstractNumId w:val="7"/>
  </w:num>
  <w:num w:numId="10">
    <w:abstractNumId w:val="37"/>
  </w:num>
  <w:num w:numId="11">
    <w:abstractNumId w:val="20"/>
  </w:num>
  <w:num w:numId="12">
    <w:abstractNumId w:val="34"/>
  </w:num>
  <w:num w:numId="13">
    <w:abstractNumId w:val="19"/>
  </w:num>
  <w:num w:numId="14">
    <w:abstractNumId w:val="38"/>
  </w:num>
  <w:num w:numId="15">
    <w:abstractNumId w:val="36"/>
  </w:num>
  <w:num w:numId="16">
    <w:abstractNumId w:val="25"/>
  </w:num>
  <w:num w:numId="17">
    <w:abstractNumId w:val="12"/>
  </w:num>
  <w:num w:numId="18">
    <w:abstractNumId w:val="1"/>
  </w:num>
  <w:num w:numId="19">
    <w:abstractNumId w:val="0"/>
  </w:num>
  <w:num w:numId="20">
    <w:abstractNumId w:val="17"/>
  </w:num>
  <w:num w:numId="21">
    <w:abstractNumId w:val="33"/>
  </w:num>
  <w:num w:numId="22">
    <w:abstractNumId w:val="27"/>
  </w:num>
  <w:num w:numId="23">
    <w:abstractNumId w:val="31"/>
  </w:num>
  <w:num w:numId="24">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35"/>
  </w:num>
  <w:num w:numId="28">
    <w:abstractNumId w:val="21"/>
  </w:num>
  <w:num w:numId="29">
    <w:abstractNumId w:val="16"/>
  </w:num>
  <w:num w:numId="30">
    <w:abstractNumId w:val="39"/>
  </w:num>
  <w:num w:numId="31">
    <w:abstractNumId w:val="5"/>
  </w:num>
  <w:num w:numId="32">
    <w:abstractNumId w:val="29"/>
  </w:num>
  <w:num w:numId="33">
    <w:abstractNumId w:val="8"/>
  </w:num>
  <w:num w:numId="34">
    <w:abstractNumId w:val="14"/>
  </w:num>
  <w:num w:numId="35">
    <w:abstractNumId w:val="18"/>
  </w:num>
  <w:num w:numId="36">
    <w:abstractNumId w:val="9"/>
  </w:num>
  <w:num w:numId="37">
    <w:abstractNumId w:val="10"/>
  </w:num>
  <w:num w:numId="38">
    <w:abstractNumId w:val="23"/>
  </w:num>
  <w:num w:numId="39">
    <w:abstractNumId w:val="11"/>
  </w:num>
  <w:num w:numId="40">
    <w:abstractNumId w:val="24"/>
  </w:num>
  <w:num w:numId="41">
    <w:abstractNumId w:val="4"/>
  </w:num>
  <w:num w:numId="42">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710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D2C"/>
    <w:rsid w:val="00001874"/>
    <w:rsid w:val="0000197B"/>
    <w:rsid w:val="00001B53"/>
    <w:rsid w:val="00001B93"/>
    <w:rsid w:val="00002A37"/>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896"/>
    <w:rsid w:val="00006D6A"/>
    <w:rsid w:val="000074A0"/>
    <w:rsid w:val="0000763D"/>
    <w:rsid w:val="000077C4"/>
    <w:rsid w:val="00007CDC"/>
    <w:rsid w:val="00007FC9"/>
    <w:rsid w:val="000104DF"/>
    <w:rsid w:val="00010ACC"/>
    <w:rsid w:val="00011354"/>
    <w:rsid w:val="00011826"/>
    <w:rsid w:val="00011B28"/>
    <w:rsid w:val="00011D2B"/>
    <w:rsid w:val="00011D99"/>
    <w:rsid w:val="000122FD"/>
    <w:rsid w:val="000126BA"/>
    <w:rsid w:val="00012D00"/>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DEF"/>
    <w:rsid w:val="00017E5B"/>
    <w:rsid w:val="0002070C"/>
    <w:rsid w:val="00020A32"/>
    <w:rsid w:val="00021072"/>
    <w:rsid w:val="00021756"/>
    <w:rsid w:val="000220CD"/>
    <w:rsid w:val="00022259"/>
    <w:rsid w:val="000227F6"/>
    <w:rsid w:val="00022F63"/>
    <w:rsid w:val="00024674"/>
    <w:rsid w:val="000249EC"/>
    <w:rsid w:val="00024BFD"/>
    <w:rsid w:val="0002564D"/>
    <w:rsid w:val="00025BAD"/>
    <w:rsid w:val="00025ECA"/>
    <w:rsid w:val="00025F8C"/>
    <w:rsid w:val="000262AC"/>
    <w:rsid w:val="0002669C"/>
    <w:rsid w:val="000266EC"/>
    <w:rsid w:val="00026921"/>
    <w:rsid w:val="00027476"/>
    <w:rsid w:val="000276DE"/>
    <w:rsid w:val="00030044"/>
    <w:rsid w:val="000303E9"/>
    <w:rsid w:val="00031381"/>
    <w:rsid w:val="0003199C"/>
    <w:rsid w:val="00031A57"/>
    <w:rsid w:val="00031FDA"/>
    <w:rsid w:val="000320CD"/>
    <w:rsid w:val="000325B8"/>
    <w:rsid w:val="00033494"/>
    <w:rsid w:val="0003396C"/>
    <w:rsid w:val="00034038"/>
    <w:rsid w:val="00034AFA"/>
    <w:rsid w:val="00034C15"/>
    <w:rsid w:val="00034F95"/>
    <w:rsid w:val="0003649D"/>
    <w:rsid w:val="00036668"/>
    <w:rsid w:val="00036BA1"/>
    <w:rsid w:val="00037C46"/>
    <w:rsid w:val="00040140"/>
    <w:rsid w:val="00040D70"/>
    <w:rsid w:val="00041482"/>
    <w:rsid w:val="000414C8"/>
    <w:rsid w:val="00041548"/>
    <w:rsid w:val="000415DB"/>
    <w:rsid w:val="00041AAC"/>
    <w:rsid w:val="000422E2"/>
    <w:rsid w:val="00042CB0"/>
    <w:rsid w:val="00042CFD"/>
    <w:rsid w:val="00042D4D"/>
    <w:rsid w:val="00042F22"/>
    <w:rsid w:val="00042FC2"/>
    <w:rsid w:val="00043D02"/>
    <w:rsid w:val="00043F1A"/>
    <w:rsid w:val="000444D5"/>
    <w:rsid w:val="000444EF"/>
    <w:rsid w:val="00044B91"/>
    <w:rsid w:val="0004513A"/>
    <w:rsid w:val="0004530D"/>
    <w:rsid w:val="00045501"/>
    <w:rsid w:val="000455A1"/>
    <w:rsid w:val="00045823"/>
    <w:rsid w:val="0004679E"/>
    <w:rsid w:val="00046BEE"/>
    <w:rsid w:val="0004744C"/>
    <w:rsid w:val="0004772A"/>
    <w:rsid w:val="000500CC"/>
    <w:rsid w:val="000502F1"/>
    <w:rsid w:val="00051E84"/>
    <w:rsid w:val="0005211E"/>
    <w:rsid w:val="00052390"/>
    <w:rsid w:val="00052A07"/>
    <w:rsid w:val="00052AD1"/>
    <w:rsid w:val="0005300B"/>
    <w:rsid w:val="000534E3"/>
    <w:rsid w:val="00053665"/>
    <w:rsid w:val="00053781"/>
    <w:rsid w:val="00054A09"/>
    <w:rsid w:val="000550A6"/>
    <w:rsid w:val="0005606A"/>
    <w:rsid w:val="00057117"/>
    <w:rsid w:val="0005716B"/>
    <w:rsid w:val="0005747E"/>
    <w:rsid w:val="000574BC"/>
    <w:rsid w:val="000575BE"/>
    <w:rsid w:val="00057E78"/>
    <w:rsid w:val="00060177"/>
    <w:rsid w:val="00061031"/>
    <w:rsid w:val="000616E7"/>
    <w:rsid w:val="00061D48"/>
    <w:rsid w:val="00061E07"/>
    <w:rsid w:val="000621B5"/>
    <w:rsid w:val="00062A13"/>
    <w:rsid w:val="00062CC6"/>
    <w:rsid w:val="00063341"/>
    <w:rsid w:val="0006420B"/>
    <w:rsid w:val="0006447C"/>
    <w:rsid w:val="0006487E"/>
    <w:rsid w:val="00064BCC"/>
    <w:rsid w:val="00064C25"/>
    <w:rsid w:val="0006527A"/>
    <w:rsid w:val="000656E1"/>
    <w:rsid w:val="00065BF6"/>
    <w:rsid w:val="00065D4C"/>
    <w:rsid w:val="00065E1A"/>
    <w:rsid w:val="000660D6"/>
    <w:rsid w:val="00066962"/>
    <w:rsid w:val="00066AEF"/>
    <w:rsid w:val="00066E6E"/>
    <w:rsid w:val="00066FA8"/>
    <w:rsid w:val="00067293"/>
    <w:rsid w:val="000674A5"/>
    <w:rsid w:val="00067BEE"/>
    <w:rsid w:val="00067F7D"/>
    <w:rsid w:val="00070082"/>
    <w:rsid w:val="000717FB"/>
    <w:rsid w:val="0007183A"/>
    <w:rsid w:val="00071A30"/>
    <w:rsid w:val="00071E0C"/>
    <w:rsid w:val="00072262"/>
    <w:rsid w:val="00072581"/>
    <w:rsid w:val="0007335A"/>
    <w:rsid w:val="00073642"/>
    <w:rsid w:val="00073AE0"/>
    <w:rsid w:val="00073AF0"/>
    <w:rsid w:val="00074015"/>
    <w:rsid w:val="000740AC"/>
    <w:rsid w:val="000757A0"/>
    <w:rsid w:val="00076502"/>
    <w:rsid w:val="0007673F"/>
    <w:rsid w:val="00076887"/>
    <w:rsid w:val="00077165"/>
    <w:rsid w:val="00077D1D"/>
    <w:rsid w:val="00077E5F"/>
    <w:rsid w:val="0008036A"/>
    <w:rsid w:val="00080BB7"/>
    <w:rsid w:val="00081293"/>
    <w:rsid w:val="0008197D"/>
    <w:rsid w:val="00081AE6"/>
    <w:rsid w:val="0008294A"/>
    <w:rsid w:val="000830B9"/>
    <w:rsid w:val="00083425"/>
    <w:rsid w:val="0008359E"/>
    <w:rsid w:val="0008369A"/>
    <w:rsid w:val="00083F22"/>
    <w:rsid w:val="00084943"/>
    <w:rsid w:val="00084C73"/>
    <w:rsid w:val="000851A1"/>
    <w:rsid w:val="000855DE"/>
    <w:rsid w:val="000855EB"/>
    <w:rsid w:val="00085B52"/>
    <w:rsid w:val="00086603"/>
    <w:rsid w:val="000866F2"/>
    <w:rsid w:val="00086BFA"/>
    <w:rsid w:val="000875D4"/>
    <w:rsid w:val="0009009F"/>
    <w:rsid w:val="00091362"/>
    <w:rsid w:val="00091557"/>
    <w:rsid w:val="00091734"/>
    <w:rsid w:val="00091922"/>
    <w:rsid w:val="00091D94"/>
    <w:rsid w:val="000923A6"/>
    <w:rsid w:val="000924C1"/>
    <w:rsid w:val="000924F0"/>
    <w:rsid w:val="00092914"/>
    <w:rsid w:val="00092B61"/>
    <w:rsid w:val="00093474"/>
    <w:rsid w:val="0009366E"/>
    <w:rsid w:val="0009385E"/>
    <w:rsid w:val="00093C62"/>
    <w:rsid w:val="00093E60"/>
    <w:rsid w:val="000948AB"/>
    <w:rsid w:val="0009510F"/>
    <w:rsid w:val="000953B7"/>
    <w:rsid w:val="000956A8"/>
    <w:rsid w:val="00095A2E"/>
    <w:rsid w:val="00095D9D"/>
    <w:rsid w:val="0009607A"/>
    <w:rsid w:val="000962D7"/>
    <w:rsid w:val="00096A15"/>
    <w:rsid w:val="00096A38"/>
    <w:rsid w:val="00096BE8"/>
    <w:rsid w:val="00096F1C"/>
    <w:rsid w:val="00097757"/>
    <w:rsid w:val="000977A5"/>
    <w:rsid w:val="000978B6"/>
    <w:rsid w:val="000978C0"/>
    <w:rsid w:val="00097992"/>
    <w:rsid w:val="000A0B91"/>
    <w:rsid w:val="000A103E"/>
    <w:rsid w:val="000A112C"/>
    <w:rsid w:val="000A1278"/>
    <w:rsid w:val="000A1B7B"/>
    <w:rsid w:val="000A2308"/>
    <w:rsid w:val="000A2362"/>
    <w:rsid w:val="000A29C4"/>
    <w:rsid w:val="000A37C1"/>
    <w:rsid w:val="000A38B8"/>
    <w:rsid w:val="000A4286"/>
    <w:rsid w:val="000A43D1"/>
    <w:rsid w:val="000A4A2B"/>
    <w:rsid w:val="000A4F09"/>
    <w:rsid w:val="000A5300"/>
    <w:rsid w:val="000A56F2"/>
    <w:rsid w:val="000A5C3D"/>
    <w:rsid w:val="000A5C47"/>
    <w:rsid w:val="000A6554"/>
    <w:rsid w:val="000A7325"/>
    <w:rsid w:val="000B0385"/>
    <w:rsid w:val="000B03D2"/>
    <w:rsid w:val="000B06B4"/>
    <w:rsid w:val="000B1822"/>
    <w:rsid w:val="000B24DB"/>
    <w:rsid w:val="000B2719"/>
    <w:rsid w:val="000B2756"/>
    <w:rsid w:val="000B2A68"/>
    <w:rsid w:val="000B2EAD"/>
    <w:rsid w:val="000B2F71"/>
    <w:rsid w:val="000B321D"/>
    <w:rsid w:val="000B35EB"/>
    <w:rsid w:val="000B372B"/>
    <w:rsid w:val="000B39C2"/>
    <w:rsid w:val="000B3A8F"/>
    <w:rsid w:val="000B3C2E"/>
    <w:rsid w:val="000B3C80"/>
    <w:rsid w:val="000B3CD1"/>
    <w:rsid w:val="000B416B"/>
    <w:rsid w:val="000B42D1"/>
    <w:rsid w:val="000B4AB9"/>
    <w:rsid w:val="000B5609"/>
    <w:rsid w:val="000B58C3"/>
    <w:rsid w:val="000B5C85"/>
    <w:rsid w:val="000B619F"/>
    <w:rsid w:val="000B61E9"/>
    <w:rsid w:val="000B6308"/>
    <w:rsid w:val="000B7585"/>
    <w:rsid w:val="000B7609"/>
    <w:rsid w:val="000B777B"/>
    <w:rsid w:val="000B7AB3"/>
    <w:rsid w:val="000B7B0A"/>
    <w:rsid w:val="000B7B10"/>
    <w:rsid w:val="000C0465"/>
    <w:rsid w:val="000C11D5"/>
    <w:rsid w:val="000C12E2"/>
    <w:rsid w:val="000C15E0"/>
    <w:rsid w:val="000C165A"/>
    <w:rsid w:val="000C172F"/>
    <w:rsid w:val="000C1CEB"/>
    <w:rsid w:val="000C231E"/>
    <w:rsid w:val="000C27DF"/>
    <w:rsid w:val="000C2BC9"/>
    <w:rsid w:val="000C2D16"/>
    <w:rsid w:val="000C2E19"/>
    <w:rsid w:val="000C2F09"/>
    <w:rsid w:val="000C30A1"/>
    <w:rsid w:val="000C30D5"/>
    <w:rsid w:val="000C3B3D"/>
    <w:rsid w:val="000C3B5B"/>
    <w:rsid w:val="000C3DC0"/>
    <w:rsid w:val="000C49EB"/>
    <w:rsid w:val="000C524E"/>
    <w:rsid w:val="000C55AB"/>
    <w:rsid w:val="000C5B63"/>
    <w:rsid w:val="000C6090"/>
    <w:rsid w:val="000C6122"/>
    <w:rsid w:val="000C654D"/>
    <w:rsid w:val="000C7C27"/>
    <w:rsid w:val="000D003E"/>
    <w:rsid w:val="000D0D07"/>
    <w:rsid w:val="000D0ED1"/>
    <w:rsid w:val="000D2291"/>
    <w:rsid w:val="000D33D8"/>
    <w:rsid w:val="000D3743"/>
    <w:rsid w:val="000D3941"/>
    <w:rsid w:val="000D399C"/>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304"/>
    <w:rsid w:val="000E1CEB"/>
    <w:rsid w:val="000E1E17"/>
    <w:rsid w:val="000E1E92"/>
    <w:rsid w:val="000E27D8"/>
    <w:rsid w:val="000E30B2"/>
    <w:rsid w:val="000E30DA"/>
    <w:rsid w:val="000E37AA"/>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BC4"/>
    <w:rsid w:val="000F2DC7"/>
    <w:rsid w:val="000F2E09"/>
    <w:rsid w:val="000F311F"/>
    <w:rsid w:val="000F3624"/>
    <w:rsid w:val="000F3BE9"/>
    <w:rsid w:val="000F3F6C"/>
    <w:rsid w:val="000F41E4"/>
    <w:rsid w:val="000F46C9"/>
    <w:rsid w:val="000F4DA4"/>
    <w:rsid w:val="000F5547"/>
    <w:rsid w:val="000F5A6A"/>
    <w:rsid w:val="000F5E93"/>
    <w:rsid w:val="000F5F34"/>
    <w:rsid w:val="000F61C2"/>
    <w:rsid w:val="000F6A04"/>
    <w:rsid w:val="000F6DF3"/>
    <w:rsid w:val="000F719F"/>
    <w:rsid w:val="000F731E"/>
    <w:rsid w:val="000F7C0D"/>
    <w:rsid w:val="001005FF"/>
    <w:rsid w:val="0010113C"/>
    <w:rsid w:val="00101452"/>
    <w:rsid w:val="00101ABF"/>
    <w:rsid w:val="001023DE"/>
    <w:rsid w:val="00102FDD"/>
    <w:rsid w:val="0010304C"/>
    <w:rsid w:val="001035F6"/>
    <w:rsid w:val="0010374B"/>
    <w:rsid w:val="00103E73"/>
    <w:rsid w:val="00104053"/>
    <w:rsid w:val="001049DF"/>
    <w:rsid w:val="00104C31"/>
    <w:rsid w:val="00104DE1"/>
    <w:rsid w:val="0010522E"/>
    <w:rsid w:val="00105862"/>
    <w:rsid w:val="001062FB"/>
    <w:rsid w:val="001063E6"/>
    <w:rsid w:val="00106987"/>
    <w:rsid w:val="00106AAA"/>
    <w:rsid w:val="00106E91"/>
    <w:rsid w:val="00106F5C"/>
    <w:rsid w:val="00110E2B"/>
    <w:rsid w:val="0011118D"/>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A78"/>
    <w:rsid w:val="001207A8"/>
    <w:rsid w:val="00120CB0"/>
    <w:rsid w:val="001219F5"/>
    <w:rsid w:val="00121A20"/>
    <w:rsid w:val="00121B71"/>
    <w:rsid w:val="00122B34"/>
    <w:rsid w:val="00122DFF"/>
    <w:rsid w:val="00123045"/>
    <w:rsid w:val="001231D0"/>
    <w:rsid w:val="0012377F"/>
    <w:rsid w:val="00123941"/>
    <w:rsid w:val="00123B72"/>
    <w:rsid w:val="00123D66"/>
    <w:rsid w:val="00123F5C"/>
    <w:rsid w:val="00124314"/>
    <w:rsid w:val="00124488"/>
    <w:rsid w:val="001245F8"/>
    <w:rsid w:val="00125D7F"/>
    <w:rsid w:val="00125F31"/>
    <w:rsid w:val="00126B4A"/>
    <w:rsid w:val="00127888"/>
    <w:rsid w:val="00127913"/>
    <w:rsid w:val="00127D44"/>
    <w:rsid w:val="00130F05"/>
    <w:rsid w:val="00131110"/>
    <w:rsid w:val="001317D4"/>
    <w:rsid w:val="00131A8D"/>
    <w:rsid w:val="00131FE5"/>
    <w:rsid w:val="00132760"/>
    <w:rsid w:val="00132A47"/>
    <w:rsid w:val="00132FD0"/>
    <w:rsid w:val="001332C1"/>
    <w:rsid w:val="00133A86"/>
    <w:rsid w:val="00134073"/>
    <w:rsid w:val="001344C0"/>
    <w:rsid w:val="001346FA"/>
    <w:rsid w:val="001348DC"/>
    <w:rsid w:val="00134CB6"/>
    <w:rsid w:val="00135024"/>
    <w:rsid w:val="0013509D"/>
    <w:rsid w:val="00135252"/>
    <w:rsid w:val="001357A7"/>
    <w:rsid w:val="00136A93"/>
    <w:rsid w:val="00136E73"/>
    <w:rsid w:val="00137350"/>
    <w:rsid w:val="00137AB5"/>
    <w:rsid w:val="00137DA3"/>
    <w:rsid w:val="00137DED"/>
    <w:rsid w:val="00137F0B"/>
    <w:rsid w:val="00140CAC"/>
    <w:rsid w:val="001413EA"/>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FE"/>
    <w:rsid w:val="0014689E"/>
    <w:rsid w:val="001471C6"/>
    <w:rsid w:val="00147872"/>
    <w:rsid w:val="00147D80"/>
    <w:rsid w:val="00147FBC"/>
    <w:rsid w:val="00150159"/>
    <w:rsid w:val="00150214"/>
    <w:rsid w:val="001505FF"/>
    <w:rsid w:val="001507D4"/>
    <w:rsid w:val="00150AAA"/>
    <w:rsid w:val="00151257"/>
    <w:rsid w:val="001512E6"/>
    <w:rsid w:val="00151DF3"/>
    <w:rsid w:val="00151E23"/>
    <w:rsid w:val="001526E0"/>
    <w:rsid w:val="00152806"/>
    <w:rsid w:val="001529CE"/>
    <w:rsid w:val="00152B02"/>
    <w:rsid w:val="00152B36"/>
    <w:rsid w:val="001531A8"/>
    <w:rsid w:val="001535D4"/>
    <w:rsid w:val="001546BC"/>
    <w:rsid w:val="001547BD"/>
    <w:rsid w:val="001551B5"/>
    <w:rsid w:val="00155C75"/>
    <w:rsid w:val="00156061"/>
    <w:rsid w:val="0015616C"/>
    <w:rsid w:val="00156ED9"/>
    <w:rsid w:val="00157123"/>
    <w:rsid w:val="00157792"/>
    <w:rsid w:val="00157908"/>
    <w:rsid w:val="00157DBE"/>
    <w:rsid w:val="0016060D"/>
    <w:rsid w:val="00160AEA"/>
    <w:rsid w:val="00161407"/>
    <w:rsid w:val="00161B73"/>
    <w:rsid w:val="00161ED8"/>
    <w:rsid w:val="0016211D"/>
    <w:rsid w:val="00162988"/>
    <w:rsid w:val="001630DC"/>
    <w:rsid w:val="001632C9"/>
    <w:rsid w:val="00163513"/>
    <w:rsid w:val="001645D4"/>
    <w:rsid w:val="001652C6"/>
    <w:rsid w:val="001659C1"/>
    <w:rsid w:val="00167323"/>
    <w:rsid w:val="00167710"/>
    <w:rsid w:val="001679AE"/>
    <w:rsid w:val="00167CFA"/>
    <w:rsid w:val="0017013E"/>
    <w:rsid w:val="00170393"/>
    <w:rsid w:val="00170B46"/>
    <w:rsid w:val="00170EAC"/>
    <w:rsid w:val="0017102C"/>
    <w:rsid w:val="001711B8"/>
    <w:rsid w:val="001713DE"/>
    <w:rsid w:val="001718B9"/>
    <w:rsid w:val="00171A7E"/>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996"/>
    <w:rsid w:val="00176A02"/>
    <w:rsid w:val="00177278"/>
    <w:rsid w:val="0017744C"/>
    <w:rsid w:val="001776B6"/>
    <w:rsid w:val="001776BE"/>
    <w:rsid w:val="00177B9B"/>
    <w:rsid w:val="00181419"/>
    <w:rsid w:val="0018143F"/>
    <w:rsid w:val="001814A9"/>
    <w:rsid w:val="001814C5"/>
    <w:rsid w:val="001816B3"/>
    <w:rsid w:val="00181D25"/>
    <w:rsid w:val="00181F9C"/>
    <w:rsid w:val="00181FF8"/>
    <w:rsid w:val="001824BE"/>
    <w:rsid w:val="00182568"/>
    <w:rsid w:val="00182622"/>
    <w:rsid w:val="00182CCC"/>
    <w:rsid w:val="00183258"/>
    <w:rsid w:val="00183AC6"/>
    <w:rsid w:val="00183E34"/>
    <w:rsid w:val="00183FB0"/>
    <w:rsid w:val="00184B55"/>
    <w:rsid w:val="00184E20"/>
    <w:rsid w:val="00185ADD"/>
    <w:rsid w:val="00185D55"/>
    <w:rsid w:val="00186EDA"/>
    <w:rsid w:val="0018724E"/>
    <w:rsid w:val="00190AC1"/>
    <w:rsid w:val="00190E73"/>
    <w:rsid w:val="001910F1"/>
    <w:rsid w:val="00191A54"/>
    <w:rsid w:val="00191B9E"/>
    <w:rsid w:val="001921C2"/>
    <w:rsid w:val="00192907"/>
    <w:rsid w:val="001931BE"/>
    <w:rsid w:val="001931C1"/>
    <w:rsid w:val="0019341A"/>
    <w:rsid w:val="00193552"/>
    <w:rsid w:val="00195001"/>
    <w:rsid w:val="001952AE"/>
    <w:rsid w:val="001953A8"/>
    <w:rsid w:val="00195E2A"/>
    <w:rsid w:val="00196705"/>
    <w:rsid w:val="00197424"/>
    <w:rsid w:val="00197DA6"/>
    <w:rsid w:val="00197DF9"/>
    <w:rsid w:val="00197EB8"/>
    <w:rsid w:val="001A0578"/>
    <w:rsid w:val="001A0F8C"/>
    <w:rsid w:val="001A105F"/>
    <w:rsid w:val="001A1987"/>
    <w:rsid w:val="001A2564"/>
    <w:rsid w:val="001A313E"/>
    <w:rsid w:val="001A3243"/>
    <w:rsid w:val="001A366B"/>
    <w:rsid w:val="001A3EAB"/>
    <w:rsid w:val="001A4851"/>
    <w:rsid w:val="001A4DD0"/>
    <w:rsid w:val="001A4FF0"/>
    <w:rsid w:val="001A59FE"/>
    <w:rsid w:val="001A5E71"/>
    <w:rsid w:val="001A5FFF"/>
    <w:rsid w:val="001A6173"/>
    <w:rsid w:val="001A694B"/>
    <w:rsid w:val="001A69A9"/>
    <w:rsid w:val="001A6CBA"/>
    <w:rsid w:val="001A6CEA"/>
    <w:rsid w:val="001A7BF4"/>
    <w:rsid w:val="001B01AD"/>
    <w:rsid w:val="001B0217"/>
    <w:rsid w:val="001B0C0C"/>
    <w:rsid w:val="001B0D97"/>
    <w:rsid w:val="001B1CB1"/>
    <w:rsid w:val="001B2506"/>
    <w:rsid w:val="001B2608"/>
    <w:rsid w:val="001B2831"/>
    <w:rsid w:val="001B3D39"/>
    <w:rsid w:val="001B4A1C"/>
    <w:rsid w:val="001B5364"/>
    <w:rsid w:val="001B54F3"/>
    <w:rsid w:val="001B5A5D"/>
    <w:rsid w:val="001B6997"/>
    <w:rsid w:val="001B6D5B"/>
    <w:rsid w:val="001B70DB"/>
    <w:rsid w:val="001B76D7"/>
    <w:rsid w:val="001B7A17"/>
    <w:rsid w:val="001C0B0F"/>
    <w:rsid w:val="001C0B16"/>
    <w:rsid w:val="001C0ECD"/>
    <w:rsid w:val="001C0F8B"/>
    <w:rsid w:val="001C1402"/>
    <w:rsid w:val="001C19B7"/>
    <w:rsid w:val="001C1C52"/>
    <w:rsid w:val="001C1CE5"/>
    <w:rsid w:val="001C1EFE"/>
    <w:rsid w:val="001C20D9"/>
    <w:rsid w:val="001C222B"/>
    <w:rsid w:val="001C2619"/>
    <w:rsid w:val="001C3079"/>
    <w:rsid w:val="001C3090"/>
    <w:rsid w:val="001C3D2A"/>
    <w:rsid w:val="001C44EC"/>
    <w:rsid w:val="001C45C4"/>
    <w:rsid w:val="001C4B49"/>
    <w:rsid w:val="001C5B2D"/>
    <w:rsid w:val="001C5BCB"/>
    <w:rsid w:val="001C609A"/>
    <w:rsid w:val="001C61B9"/>
    <w:rsid w:val="001C6250"/>
    <w:rsid w:val="001C6F63"/>
    <w:rsid w:val="001C7107"/>
    <w:rsid w:val="001C71BB"/>
    <w:rsid w:val="001C75B4"/>
    <w:rsid w:val="001C7860"/>
    <w:rsid w:val="001C7897"/>
    <w:rsid w:val="001C7B54"/>
    <w:rsid w:val="001D056D"/>
    <w:rsid w:val="001D0760"/>
    <w:rsid w:val="001D0ADD"/>
    <w:rsid w:val="001D15A9"/>
    <w:rsid w:val="001D15CB"/>
    <w:rsid w:val="001D1BE2"/>
    <w:rsid w:val="001D2130"/>
    <w:rsid w:val="001D24C8"/>
    <w:rsid w:val="001D2B5F"/>
    <w:rsid w:val="001D2BD0"/>
    <w:rsid w:val="001D3342"/>
    <w:rsid w:val="001D3CFA"/>
    <w:rsid w:val="001D51BA"/>
    <w:rsid w:val="001D53E7"/>
    <w:rsid w:val="001D596D"/>
    <w:rsid w:val="001D6342"/>
    <w:rsid w:val="001D6906"/>
    <w:rsid w:val="001D6D53"/>
    <w:rsid w:val="001D6F1C"/>
    <w:rsid w:val="001D7246"/>
    <w:rsid w:val="001E0AA0"/>
    <w:rsid w:val="001E0D07"/>
    <w:rsid w:val="001E0D4D"/>
    <w:rsid w:val="001E11B2"/>
    <w:rsid w:val="001E1909"/>
    <w:rsid w:val="001E2C01"/>
    <w:rsid w:val="001E30FD"/>
    <w:rsid w:val="001E39A8"/>
    <w:rsid w:val="001E3D49"/>
    <w:rsid w:val="001E436E"/>
    <w:rsid w:val="001E58E2"/>
    <w:rsid w:val="001E5F9A"/>
    <w:rsid w:val="001E727B"/>
    <w:rsid w:val="001E76C4"/>
    <w:rsid w:val="001E7703"/>
    <w:rsid w:val="001E7AED"/>
    <w:rsid w:val="001F00D2"/>
    <w:rsid w:val="001F036F"/>
    <w:rsid w:val="001F15E1"/>
    <w:rsid w:val="001F1D0D"/>
    <w:rsid w:val="001F23D0"/>
    <w:rsid w:val="001F2C16"/>
    <w:rsid w:val="001F326A"/>
    <w:rsid w:val="001F3916"/>
    <w:rsid w:val="001F395E"/>
    <w:rsid w:val="001F4763"/>
    <w:rsid w:val="001F4C2C"/>
    <w:rsid w:val="001F5288"/>
    <w:rsid w:val="001F5465"/>
    <w:rsid w:val="001F54C5"/>
    <w:rsid w:val="001F5698"/>
    <w:rsid w:val="001F5856"/>
    <w:rsid w:val="001F6108"/>
    <w:rsid w:val="001F62C8"/>
    <w:rsid w:val="001F662C"/>
    <w:rsid w:val="001F6B9A"/>
    <w:rsid w:val="001F7074"/>
    <w:rsid w:val="001F7D71"/>
    <w:rsid w:val="00200490"/>
    <w:rsid w:val="0020068D"/>
    <w:rsid w:val="00200D70"/>
    <w:rsid w:val="00201BFF"/>
    <w:rsid w:val="00201F3A"/>
    <w:rsid w:val="00202F29"/>
    <w:rsid w:val="002037D8"/>
    <w:rsid w:val="00203CD3"/>
    <w:rsid w:val="00203F28"/>
    <w:rsid w:val="00203F96"/>
    <w:rsid w:val="00204546"/>
    <w:rsid w:val="0020457F"/>
    <w:rsid w:val="002045FA"/>
    <w:rsid w:val="002054B1"/>
    <w:rsid w:val="00205634"/>
    <w:rsid w:val="002059C9"/>
    <w:rsid w:val="002062D3"/>
    <w:rsid w:val="002063C2"/>
    <w:rsid w:val="002069B2"/>
    <w:rsid w:val="002069B6"/>
    <w:rsid w:val="0020724C"/>
    <w:rsid w:val="002072DA"/>
    <w:rsid w:val="002073F8"/>
    <w:rsid w:val="00207B36"/>
    <w:rsid w:val="00207C8E"/>
    <w:rsid w:val="00207FA3"/>
    <w:rsid w:val="00207FD7"/>
    <w:rsid w:val="0021040E"/>
    <w:rsid w:val="00210649"/>
    <w:rsid w:val="0021121F"/>
    <w:rsid w:val="00211493"/>
    <w:rsid w:val="00211BD0"/>
    <w:rsid w:val="002127AF"/>
    <w:rsid w:val="00212AA3"/>
    <w:rsid w:val="00212BB0"/>
    <w:rsid w:val="00212DB8"/>
    <w:rsid w:val="00213228"/>
    <w:rsid w:val="002137E3"/>
    <w:rsid w:val="0021428A"/>
    <w:rsid w:val="002148E8"/>
    <w:rsid w:val="00214DA8"/>
    <w:rsid w:val="00215120"/>
    <w:rsid w:val="00215423"/>
    <w:rsid w:val="002158FA"/>
    <w:rsid w:val="00215E4C"/>
    <w:rsid w:val="00216C2E"/>
    <w:rsid w:val="002171DE"/>
    <w:rsid w:val="002175C8"/>
    <w:rsid w:val="00217E1B"/>
    <w:rsid w:val="002200E7"/>
    <w:rsid w:val="00220184"/>
    <w:rsid w:val="00220600"/>
    <w:rsid w:val="00220EBC"/>
    <w:rsid w:val="00221678"/>
    <w:rsid w:val="00221BDD"/>
    <w:rsid w:val="00221D68"/>
    <w:rsid w:val="00222204"/>
    <w:rsid w:val="002224DB"/>
    <w:rsid w:val="002228E4"/>
    <w:rsid w:val="00223BEF"/>
    <w:rsid w:val="00223CD0"/>
    <w:rsid w:val="00223FCB"/>
    <w:rsid w:val="002249CE"/>
    <w:rsid w:val="00224C8A"/>
    <w:rsid w:val="00224D07"/>
    <w:rsid w:val="002252C3"/>
    <w:rsid w:val="0022543F"/>
    <w:rsid w:val="0022548F"/>
    <w:rsid w:val="002256FE"/>
    <w:rsid w:val="00225C54"/>
    <w:rsid w:val="00225DBA"/>
    <w:rsid w:val="0022613A"/>
    <w:rsid w:val="002269F8"/>
    <w:rsid w:val="00227623"/>
    <w:rsid w:val="00230765"/>
    <w:rsid w:val="00230986"/>
    <w:rsid w:val="00230D18"/>
    <w:rsid w:val="002319E4"/>
    <w:rsid w:val="00231C8F"/>
    <w:rsid w:val="00231EE8"/>
    <w:rsid w:val="00232911"/>
    <w:rsid w:val="00232A55"/>
    <w:rsid w:val="00232D5B"/>
    <w:rsid w:val="00232ECF"/>
    <w:rsid w:val="00233530"/>
    <w:rsid w:val="00233A0B"/>
    <w:rsid w:val="002347AA"/>
    <w:rsid w:val="002350F5"/>
    <w:rsid w:val="002354FA"/>
    <w:rsid w:val="002355FE"/>
    <w:rsid w:val="00235632"/>
    <w:rsid w:val="00235872"/>
    <w:rsid w:val="00236130"/>
    <w:rsid w:val="00237470"/>
    <w:rsid w:val="0023794C"/>
    <w:rsid w:val="00240B47"/>
    <w:rsid w:val="00240DFD"/>
    <w:rsid w:val="00241559"/>
    <w:rsid w:val="0024193B"/>
    <w:rsid w:val="00241B53"/>
    <w:rsid w:val="00241E50"/>
    <w:rsid w:val="00242225"/>
    <w:rsid w:val="00242735"/>
    <w:rsid w:val="00242EA5"/>
    <w:rsid w:val="002435B3"/>
    <w:rsid w:val="00243712"/>
    <w:rsid w:val="00244477"/>
    <w:rsid w:val="002444AD"/>
    <w:rsid w:val="002448AF"/>
    <w:rsid w:val="00244A0C"/>
    <w:rsid w:val="00244AD4"/>
    <w:rsid w:val="002458EB"/>
    <w:rsid w:val="00245946"/>
    <w:rsid w:val="00245A3C"/>
    <w:rsid w:val="002460F1"/>
    <w:rsid w:val="00246E08"/>
    <w:rsid w:val="0024754B"/>
    <w:rsid w:val="00247563"/>
    <w:rsid w:val="00247FA9"/>
    <w:rsid w:val="002500C8"/>
    <w:rsid w:val="00250683"/>
    <w:rsid w:val="0025078E"/>
    <w:rsid w:val="002509F8"/>
    <w:rsid w:val="00250BE3"/>
    <w:rsid w:val="0025102A"/>
    <w:rsid w:val="00251A92"/>
    <w:rsid w:val="00253241"/>
    <w:rsid w:val="00253322"/>
    <w:rsid w:val="002534E0"/>
    <w:rsid w:val="00253D56"/>
    <w:rsid w:val="00253EB4"/>
    <w:rsid w:val="00254998"/>
    <w:rsid w:val="00254C1A"/>
    <w:rsid w:val="002550B9"/>
    <w:rsid w:val="0025529D"/>
    <w:rsid w:val="00255738"/>
    <w:rsid w:val="0025603F"/>
    <w:rsid w:val="0025608F"/>
    <w:rsid w:val="00256245"/>
    <w:rsid w:val="002569A7"/>
    <w:rsid w:val="00256BF7"/>
    <w:rsid w:val="0025705C"/>
    <w:rsid w:val="00257381"/>
    <w:rsid w:val="00257543"/>
    <w:rsid w:val="002577FB"/>
    <w:rsid w:val="002609BB"/>
    <w:rsid w:val="00260BF6"/>
    <w:rsid w:val="00260E52"/>
    <w:rsid w:val="002617E7"/>
    <w:rsid w:val="002618B1"/>
    <w:rsid w:val="00262B33"/>
    <w:rsid w:val="0026307D"/>
    <w:rsid w:val="00263286"/>
    <w:rsid w:val="00263997"/>
    <w:rsid w:val="00263FEE"/>
    <w:rsid w:val="00264228"/>
    <w:rsid w:val="00264334"/>
    <w:rsid w:val="00264515"/>
    <w:rsid w:val="002645ED"/>
    <w:rsid w:val="00264631"/>
    <w:rsid w:val="00264672"/>
    <w:rsid w:val="0026473E"/>
    <w:rsid w:val="00264DA1"/>
    <w:rsid w:val="00264DE4"/>
    <w:rsid w:val="00264E80"/>
    <w:rsid w:val="00264EEB"/>
    <w:rsid w:val="00265260"/>
    <w:rsid w:val="002653EE"/>
    <w:rsid w:val="00266214"/>
    <w:rsid w:val="00266DA1"/>
    <w:rsid w:val="00266F25"/>
    <w:rsid w:val="002673D6"/>
    <w:rsid w:val="00267C83"/>
    <w:rsid w:val="00270A8D"/>
    <w:rsid w:val="00270DCA"/>
    <w:rsid w:val="0027144F"/>
    <w:rsid w:val="0027157A"/>
    <w:rsid w:val="00271813"/>
    <w:rsid w:val="0027186A"/>
    <w:rsid w:val="00271F3A"/>
    <w:rsid w:val="00273278"/>
    <w:rsid w:val="002737F4"/>
    <w:rsid w:val="002738F9"/>
    <w:rsid w:val="002739A0"/>
    <w:rsid w:val="00274601"/>
    <w:rsid w:val="002746F7"/>
    <w:rsid w:val="00274BD4"/>
    <w:rsid w:val="002756F4"/>
    <w:rsid w:val="00275781"/>
    <w:rsid w:val="002769D3"/>
    <w:rsid w:val="00276EA6"/>
    <w:rsid w:val="002770F9"/>
    <w:rsid w:val="00277BB0"/>
    <w:rsid w:val="00277C2B"/>
    <w:rsid w:val="00277CFB"/>
    <w:rsid w:val="0028043B"/>
    <w:rsid w:val="002805F5"/>
    <w:rsid w:val="00280751"/>
    <w:rsid w:val="00280C37"/>
    <w:rsid w:val="0028135B"/>
    <w:rsid w:val="0028280A"/>
    <w:rsid w:val="00283454"/>
    <w:rsid w:val="002835B1"/>
    <w:rsid w:val="0028379D"/>
    <w:rsid w:val="00283A25"/>
    <w:rsid w:val="002841E2"/>
    <w:rsid w:val="002848AD"/>
    <w:rsid w:val="00285139"/>
    <w:rsid w:val="00285147"/>
    <w:rsid w:val="002854F2"/>
    <w:rsid w:val="00286ACD"/>
    <w:rsid w:val="00287838"/>
    <w:rsid w:val="002878A1"/>
    <w:rsid w:val="00287B3E"/>
    <w:rsid w:val="00287E98"/>
    <w:rsid w:val="00287FD6"/>
    <w:rsid w:val="002907B5"/>
    <w:rsid w:val="0029101B"/>
    <w:rsid w:val="002911B9"/>
    <w:rsid w:val="0029229D"/>
    <w:rsid w:val="00292CF1"/>
    <w:rsid w:val="00292EB7"/>
    <w:rsid w:val="00293528"/>
    <w:rsid w:val="00293566"/>
    <w:rsid w:val="00293AFD"/>
    <w:rsid w:val="00294057"/>
    <w:rsid w:val="00294162"/>
    <w:rsid w:val="0029467C"/>
    <w:rsid w:val="00294E91"/>
    <w:rsid w:val="00295264"/>
    <w:rsid w:val="00295686"/>
    <w:rsid w:val="00296227"/>
    <w:rsid w:val="00296F44"/>
    <w:rsid w:val="00296F81"/>
    <w:rsid w:val="00297207"/>
    <w:rsid w:val="0029777D"/>
    <w:rsid w:val="00297C57"/>
    <w:rsid w:val="00297C97"/>
    <w:rsid w:val="002A019A"/>
    <w:rsid w:val="002A02A5"/>
    <w:rsid w:val="002A055E"/>
    <w:rsid w:val="002A0AB9"/>
    <w:rsid w:val="002A0FD6"/>
    <w:rsid w:val="002A118A"/>
    <w:rsid w:val="002A12E5"/>
    <w:rsid w:val="002A1452"/>
    <w:rsid w:val="002A19C6"/>
    <w:rsid w:val="002A1CB3"/>
    <w:rsid w:val="002A1D4E"/>
    <w:rsid w:val="002A2869"/>
    <w:rsid w:val="002A332D"/>
    <w:rsid w:val="002A370B"/>
    <w:rsid w:val="002A376D"/>
    <w:rsid w:val="002A3785"/>
    <w:rsid w:val="002A3BD3"/>
    <w:rsid w:val="002A3CAB"/>
    <w:rsid w:val="002A489F"/>
    <w:rsid w:val="002A4A96"/>
    <w:rsid w:val="002A519C"/>
    <w:rsid w:val="002A567C"/>
    <w:rsid w:val="002A595F"/>
    <w:rsid w:val="002A5A74"/>
    <w:rsid w:val="002A5A8F"/>
    <w:rsid w:val="002A636C"/>
    <w:rsid w:val="002A644A"/>
    <w:rsid w:val="002A68DA"/>
    <w:rsid w:val="002A6D45"/>
    <w:rsid w:val="002A7069"/>
    <w:rsid w:val="002A76BC"/>
    <w:rsid w:val="002A7A73"/>
    <w:rsid w:val="002A7CFF"/>
    <w:rsid w:val="002A7F3E"/>
    <w:rsid w:val="002B01D9"/>
    <w:rsid w:val="002B03F5"/>
    <w:rsid w:val="002B0DEE"/>
    <w:rsid w:val="002B1001"/>
    <w:rsid w:val="002B103C"/>
    <w:rsid w:val="002B1150"/>
    <w:rsid w:val="002B129E"/>
    <w:rsid w:val="002B134E"/>
    <w:rsid w:val="002B17BC"/>
    <w:rsid w:val="002B1BF2"/>
    <w:rsid w:val="002B24D6"/>
    <w:rsid w:val="002B3C3D"/>
    <w:rsid w:val="002B4523"/>
    <w:rsid w:val="002B4954"/>
    <w:rsid w:val="002B519B"/>
    <w:rsid w:val="002B5E2A"/>
    <w:rsid w:val="002B64AA"/>
    <w:rsid w:val="002B707D"/>
    <w:rsid w:val="002B747E"/>
    <w:rsid w:val="002B7C0D"/>
    <w:rsid w:val="002B7C12"/>
    <w:rsid w:val="002C0346"/>
    <w:rsid w:val="002C0463"/>
    <w:rsid w:val="002C0EA8"/>
    <w:rsid w:val="002C12C3"/>
    <w:rsid w:val="002C165B"/>
    <w:rsid w:val="002C1890"/>
    <w:rsid w:val="002C1A85"/>
    <w:rsid w:val="002C29B6"/>
    <w:rsid w:val="002C2B26"/>
    <w:rsid w:val="002C35F8"/>
    <w:rsid w:val="002C3794"/>
    <w:rsid w:val="002C416D"/>
    <w:rsid w:val="002C41E6"/>
    <w:rsid w:val="002C4B82"/>
    <w:rsid w:val="002C4D39"/>
    <w:rsid w:val="002C4E3D"/>
    <w:rsid w:val="002C4FFD"/>
    <w:rsid w:val="002C689D"/>
    <w:rsid w:val="002C6AEE"/>
    <w:rsid w:val="002C6D36"/>
    <w:rsid w:val="002C7352"/>
    <w:rsid w:val="002C7584"/>
    <w:rsid w:val="002C782D"/>
    <w:rsid w:val="002C7B06"/>
    <w:rsid w:val="002D0010"/>
    <w:rsid w:val="002D071A"/>
    <w:rsid w:val="002D09F6"/>
    <w:rsid w:val="002D0BF4"/>
    <w:rsid w:val="002D0E30"/>
    <w:rsid w:val="002D1040"/>
    <w:rsid w:val="002D16C0"/>
    <w:rsid w:val="002D212C"/>
    <w:rsid w:val="002D26AA"/>
    <w:rsid w:val="002D2761"/>
    <w:rsid w:val="002D2BD8"/>
    <w:rsid w:val="002D2E65"/>
    <w:rsid w:val="002D34B2"/>
    <w:rsid w:val="002D4734"/>
    <w:rsid w:val="002D48B0"/>
    <w:rsid w:val="002D4D2C"/>
    <w:rsid w:val="002D59FF"/>
    <w:rsid w:val="002D5B37"/>
    <w:rsid w:val="002D5DA7"/>
    <w:rsid w:val="002D5E50"/>
    <w:rsid w:val="002D5EF1"/>
    <w:rsid w:val="002D6337"/>
    <w:rsid w:val="002D6654"/>
    <w:rsid w:val="002D6C4A"/>
    <w:rsid w:val="002D6CEF"/>
    <w:rsid w:val="002D7264"/>
    <w:rsid w:val="002D735E"/>
    <w:rsid w:val="002D73FF"/>
    <w:rsid w:val="002D7637"/>
    <w:rsid w:val="002E05FE"/>
    <w:rsid w:val="002E07EB"/>
    <w:rsid w:val="002E0898"/>
    <w:rsid w:val="002E12DE"/>
    <w:rsid w:val="002E1731"/>
    <w:rsid w:val="002E17F2"/>
    <w:rsid w:val="002E193C"/>
    <w:rsid w:val="002E1ACE"/>
    <w:rsid w:val="002E1C12"/>
    <w:rsid w:val="002E1DA4"/>
    <w:rsid w:val="002E2387"/>
    <w:rsid w:val="002E238C"/>
    <w:rsid w:val="002E2CC7"/>
    <w:rsid w:val="002E3199"/>
    <w:rsid w:val="002E344A"/>
    <w:rsid w:val="002E37DA"/>
    <w:rsid w:val="002E37F4"/>
    <w:rsid w:val="002E4DDD"/>
    <w:rsid w:val="002E5168"/>
    <w:rsid w:val="002E5443"/>
    <w:rsid w:val="002E5512"/>
    <w:rsid w:val="002E6052"/>
    <w:rsid w:val="002E7135"/>
    <w:rsid w:val="002E7559"/>
    <w:rsid w:val="002E777C"/>
    <w:rsid w:val="002E7BC5"/>
    <w:rsid w:val="002E7CAE"/>
    <w:rsid w:val="002F0350"/>
    <w:rsid w:val="002F13D6"/>
    <w:rsid w:val="002F215A"/>
    <w:rsid w:val="002F2771"/>
    <w:rsid w:val="002F2B1E"/>
    <w:rsid w:val="002F31B9"/>
    <w:rsid w:val="002F37A9"/>
    <w:rsid w:val="002F3886"/>
    <w:rsid w:val="002F38D6"/>
    <w:rsid w:val="002F3C18"/>
    <w:rsid w:val="002F3F47"/>
    <w:rsid w:val="002F453C"/>
    <w:rsid w:val="002F468C"/>
    <w:rsid w:val="002F473F"/>
    <w:rsid w:val="002F47CF"/>
    <w:rsid w:val="002F4ADD"/>
    <w:rsid w:val="002F57B4"/>
    <w:rsid w:val="002F5AD2"/>
    <w:rsid w:val="002F5FA2"/>
    <w:rsid w:val="002F64AE"/>
    <w:rsid w:val="002F64D6"/>
    <w:rsid w:val="002F7CCB"/>
    <w:rsid w:val="002F7DCD"/>
    <w:rsid w:val="00300077"/>
    <w:rsid w:val="00300AEA"/>
    <w:rsid w:val="00300CCE"/>
    <w:rsid w:val="0030134F"/>
    <w:rsid w:val="00301C18"/>
    <w:rsid w:val="00301CE6"/>
    <w:rsid w:val="00301D5F"/>
    <w:rsid w:val="0030254F"/>
    <w:rsid w:val="0030256B"/>
    <w:rsid w:val="003025A7"/>
    <w:rsid w:val="00302920"/>
    <w:rsid w:val="00302976"/>
    <w:rsid w:val="00303B17"/>
    <w:rsid w:val="00303DD1"/>
    <w:rsid w:val="00303E56"/>
    <w:rsid w:val="003048E2"/>
    <w:rsid w:val="003048EB"/>
    <w:rsid w:val="00304E13"/>
    <w:rsid w:val="00304F17"/>
    <w:rsid w:val="0030501F"/>
    <w:rsid w:val="00305518"/>
    <w:rsid w:val="00305632"/>
    <w:rsid w:val="003056D2"/>
    <w:rsid w:val="003057B0"/>
    <w:rsid w:val="00306286"/>
    <w:rsid w:val="003069EE"/>
    <w:rsid w:val="00306B43"/>
    <w:rsid w:val="00306E4D"/>
    <w:rsid w:val="00307487"/>
    <w:rsid w:val="003074E6"/>
    <w:rsid w:val="00307A2F"/>
    <w:rsid w:val="00307BA1"/>
    <w:rsid w:val="00307FE0"/>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CBB"/>
    <w:rsid w:val="00313FD6"/>
    <w:rsid w:val="00314286"/>
    <w:rsid w:val="003142C4"/>
    <w:rsid w:val="003143BD"/>
    <w:rsid w:val="00314A33"/>
    <w:rsid w:val="00314CEB"/>
    <w:rsid w:val="00315363"/>
    <w:rsid w:val="003155A2"/>
    <w:rsid w:val="00315606"/>
    <w:rsid w:val="0031586C"/>
    <w:rsid w:val="00315AE0"/>
    <w:rsid w:val="00315E63"/>
    <w:rsid w:val="003162A1"/>
    <w:rsid w:val="003165C7"/>
    <w:rsid w:val="0031666C"/>
    <w:rsid w:val="00316984"/>
    <w:rsid w:val="00316A6C"/>
    <w:rsid w:val="00316B35"/>
    <w:rsid w:val="003170BC"/>
    <w:rsid w:val="003171AE"/>
    <w:rsid w:val="00317708"/>
    <w:rsid w:val="003178B6"/>
    <w:rsid w:val="00317B88"/>
    <w:rsid w:val="00317EFB"/>
    <w:rsid w:val="003203ED"/>
    <w:rsid w:val="00320688"/>
    <w:rsid w:val="00320CA2"/>
    <w:rsid w:val="00320EF2"/>
    <w:rsid w:val="00321814"/>
    <w:rsid w:val="003219D2"/>
    <w:rsid w:val="0032237E"/>
    <w:rsid w:val="003227A7"/>
    <w:rsid w:val="00322837"/>
    <w:rsid w:val="00322B02"/>
    <w:rsid w:val="00322C9F"/>
    <w:rsid w:val="00322DEA"/>
    <w:rsid w:val="00322F56"/>
    <w:rsid w:val="0032357D"/>
    <w:rsid w:val="00323CD7"/>
    <w:rsid w:val="00324D23"/>
    <w:rsid w:val="00324FE9"/>
    <w:rsid w:val="00325784"/>
    <w:rsid w:val="00326303"/>
    <w:rsid w:val="00326662"/>
    <w:rsid w:val="003266D1"/>
    <w:rsid w:val="00326BB7"/>
    <w:rsid w:val="00327095"/>
    <w:rsid w:val="003274A0"/>
    <w:rsid w:val="00327B67"/>
    <w:rsid w:val="00327D4D"/>
    <w:rsid w:val="003301C1"/>
    <w:rsid w:val="00330481"/>
    <w:rsid w:val="003307EE"/>
    <w:rsid w:val="00331512"/>
    <w:rsid w:val="00331751"/>
    <w:rsid w:val="00331D28"/>
    <w:rsid w:val="00332362"/>
    <w:rsid w:val="003327E5"/>
    <w:rsid w:val="00332EBC"/>
    <w:rsid w:val="00333DEF"/>
    <w:rsid w:val="00334579"/>
    <w:rsid w:val="00334610"/>
    <w:rsid w:val="00334D69"/>
    <w:rsid w:val="00335144"/>
    <w:rsid w:val="00335858"/>
    <w:rsid w:val="00335979"/>
    <w:rsid w:val="00335ED2"/>
    <w:rsid w:val="00336BDA"/>
    <w:rsid w:val="00337272"/>
    <w:rsid w:val="003372FB"/>
    <w:rsid w:val="0033743B"/>
    <w:rsid w:val="00337520"/>
    <w:rsid w:val="00337FD6"/>
    <w:rsid w:val="00340547"/>
    <w:rsid w:val="00341022"/>
    <w:rsid w:val="00341BBC"/>
    <w:rsid w:val="00342BD7"/>
    <w:rsid w:val="00343469"/>
    <w:rsid w:val="00344EAC"/>
    <w:rsid w:val="0034578E"/>
    <w:rsid w:val="00345AEC"/>
    <w:rsid w:val="00345F5E"/>
    <w:rsid w:val="0034689C"/>
    <w:rsid w:val="00346B69"/>
    <w:rsid w:val="00346DB5"/>
    <w:rsid w:val="003477B1"/>
    <w:rsid w:val="00347A8D"/>
    <w:rsid w:val="00347AC5"/>
    <w:rsid w:val="00347C9E"/>
    <w:rsid w:val="0035090C"/>
    <w:rsid w:val="00350E5F"/>
    <w:rsid w:val="003519C8"/>
    <w:rsid w:val="00351BB8"/>
    <w:rsid w:val="00352068"/>
    <w:rsid w:val="003525A7"/>
    <w:rsid w:val="00352845"/>
    <w:rsid w:val="003533D6"/>
    <w:rsid w:val="0035379A"/>
    <w:rsid w:val="003539A2"/>
    <w:rsid w:val="00353D34"/>
    <w:rsid w:val="0035426A"/>
    <w:rsid w:val="003554AA"/>
    <w:rsid w:val="003555E7"/>
    <w:rsid w:val="0035625C"/>
    <w:rsid w:val="00356C6D"/>
    <w:rsid w:val="00357380"/>
    <w:rsid w:val="00357BB7"/>
    <w:rsid w:val="00357C09"/>
    <w:rsid w:val="003602D9"/>
    <w:rsid w:val="003604CE"/>
    <w:rsid w:val="00360686"/>
    <w:rsid w:val="00360789"/>
    <w:rsid w:val="00361378"/>
    <w:rsid w:val="00361701"/>
    <w:rsid w:val="0036209C"/>
    <w:rsid w:val="00362395"/>
    <w:rsid w:val="00362CE7"/>
    <w:rsid w:val="00362D34"/>
    <w:rsid w:val="00363482"/>
    <w:rsid w:val="003636FB"/>
    <w:rsid w:val="00363829"/>
    <w:rsid w:val="003643D5"/>
    <w:rsid w:val="0036466A"/>
    <w:rsid w:val="0036507F"/>
    <w:rsid w:val="003652E7"/>
    <w:rsid w:val="0036606B"/>
    <w:rsid w:val="00366C63"/>
    <w:rsid w:val="00367898"/>
    <w:rsid w:val="003678D5"/>
    <w:rsid w:val="00367A62"/>
    <w:rsid w:val="00367A90"/>
    <w:rsid w:val="00370435"/>
    <w:rsid w:val="00370E47"/>
    <w:rsid w:val="00371110"/>
    <w:rsid w:val="00371588"/>
    <w:rsid w:val="003715AF"/>
    <w:rsid w:val="00371665"/>
    <w:rsid w:val="003716F8"/>
    <w:rsid w:val="00371944"/>
    <w:rsid w:val="003719A1"/>
    <w:rsid w:val="00371E9B"/>
    <w:rsid w:val="00372DA8"/>
    <w:rsid w:val="00373697"/>
    <w:rsid w:val="003739E0"/>
    <w:rsid w:val="00373BA1"/>
    <w:rsid w:val="00373C05"/>
    <w:rsid w:val="0037423B"/>
    <w:rsid w:val="003742AC"/>
    <w:rsid w:val="0037435E"/>
    <w:rsid w:val="003757A0"/>
    <w:rsid w:val="00375856"/>
    <w:rsid w:val="00375B6A"/>
    <w:rsid w:val="0037607A"/>
    <w:rsid w:val="00376D38"/>
    <w:rsid w:val="00376F7C"/>
    <w:rsid w:val="00377CE1"/>
    <w:rsid w:val="003809A1"/>
    <w:rsid w:val="00380A35"/>
    <w:rsid w:val="00381703"/>
    <w:rsid w:val="00381A54"/>
    <w:rsid w:val="00381D66"/>
    <w:rsid w:val="00382419"/>
    <w:rsid w:val="00382574"/>
    <w:rsid w:val="00382784"/>
    <w:rsid w:val="003837BA"/>
    <w:rsid w:val="00383824"/>
    <w:rsid w:val="0038508D"/>
    <w:rsid w:val="0038530E"/>
    <w:rsid w:val="00385BF0"/>
    <w:rsid w:val="00385F1C"/>
    <w:rsid w:val="003869DB"/>
    <w:rsid w:val="00386BD7"/>
    <w:rsid w:val="003872AD"/>
    <w:rsid w:val="00387562"/>
    <w:rsid w:val="003901DB"/>
    <w:rsid w:val="00390467"/>
    <w:rsid w:val="00390782"/>
    <w:rsid w:val="00390F05"/>
    <w:rsid w:val="003910E3"/>
    <w:rsid w:val="00391315"/>
    <w:rsid w:val="0039143E"/>
    <w:rsid w:val="00391930"/>
    <w:rsid w:val="00391A2E"/>
    <w:rsid w:val="003922AA"/>
    <w:rsid w:val="00392889"/>
    <w:rsid w:val="0039318F"/>
    <w:rsid w:val="003939FF"/>
    <w:rsid w:val="00393B72"/>
    <w:rsid w:val="00393EBE"/>
    <w:rsid w:val="00394556"/>
    <w:rsid w:val="0039473E"/>
    <w:rsid w:val="00394BCB"/>
    <w:rsid w:val="00394FE6"/>
    <w:rsid w:val="003950D1"/>
    <w:rsid w:val="00395181"/>
    <w:rsid w:val="0039523F"/>
    <w:rsid w:val="00396D2F"/>
    <w:rsid w:val="00396D8C"/>
    <w:rsid w:val="00397D2C"/>
    <w:rsid w:val="003A015D"/>
    <w:rsid w:val="003A01B4"/>
    <w:rsid w:val="003A0242"/>
    <w:rsid w:val="003A08C0"/>
    <w:rsid w:val="003A0F81"/>
    <w:rsid w:val="003A1126"/>
    <w:rsid w:val="003A12C6"/>
    <w:rsid w:val="003A17BC"/>
    <w:rsid w:val="003A2223"/>
    <w:rsid w:val="003A22AF"/>
    <w:rsid w:val="003A2A0F"/>
    <w:rsid w:val="003A3838"/>
    <w:rsid w:val="003A4074"/>
    <w:rsid w:val="003A45A1"/>
    <w:rsid w:val="003A463B"/>
    <w:rsid w:val="003A4BD2"/>
    <w:rsid w:val="003A5341"/>
    <w:rsid w:val="003A57B8"/>
    <w:rsid w:val="003A5B0A"/>
    <w:rsid w:val="003A5C83"/>
    <w:rsid w:val="003A655F"/>
    <w:rsid w:val="003A6643"/>
    <w:rsid w:val="003A6BAC"/>
    <w:rsid w:val="003A70A4"/>
    <w:rsid w:val="003A70DB"/>
    <w:rsid w:val="003A73D7"/>
    <w:rsid w:val="003A79C5"/>
    <w:rsid w:val="003A7BD6"/>
    <w:rsid w:val="003A7D60"/>
    <w:rsid w:val="003A7EF3"/>
    <w:rsid w:val="003B0146"/>
    <w:rsid w:val="003B06ED"/>
    <w:rsid w:val="003B087D"/>
    <w:rsid w:val="003B0DDC"/>
    <w:rsid w:val="003B13D5"/>
    <w:rsid w:val="003B159C"/>
    <w:rsid w:val="003B1898"/>
    <w:rsid w:val="003B1A61"/>
    <w:rsid w:val="003B369F"/>
    <w:rsid w:val="003B36A3"/>
    <w:rsid w:val="003B3ECB"/>
    <w:rsid w:val="003B4F1E"/>
    <w:rsid w:val="003B520E"/>
    <w:rsid w:val="003B53B6"/>
    <w:rsid w:val="003B540E"/>
    <w:rsid w:val="003B55B0"/>
    <w:rsid w:val="003B5621"/>
    <w:rsid w:val="003B5806"/>
    <w:rsid w:val="003B5918"/>
    <w:rsid w:val="003B5D4D"/>
    <w:rsid w:val="003B5E6A"/>
    <w:rsid w:val="003B64BB"/>
    <w:rsid w:val="003B73E6"/>
    <w:rsid w:val="003B7409"/>
    <w:rsid w:val="003B74A3"/>
    <w:rsid w:val="003B7AC5"/>
    <w:rsid w:val="003B7EAD"/>
    <w:rsid w:val="003B7FE5"/>
    <w:rsid w:val="003C11C8"/>
    <w:rsid w:val="003C1BA9"/>
    <w:rsid w:val="003C1DB2"/>
    <w:rsid w:val="003C23EA"/>
    <w:rsid w:val="003C25B4"/>
    <w:rsid w:val="003C2702"/>
    <w:rsid w:val="003C2B8A"/>
    <w:rsid w:val="003C2C01"/>
    <w:rsid w:val="003C2D1E"/>
    <w:rsid w:val="003C2FF5"/>
    <w:rsid w:val="003C3431"/>
    <w:rsid w:val="003C4092"/>
    <w:rsid w:val="003C4A06"/>
    <w:rsid w:val="003C65F3"/>
    <w:rsid w:val="003C68D5"/>
    <w:rsid w:val="003C6902"/>
    <w:rsid w:val="003C6AC4"/>
    <w:rsid w:val="003C6ACE"/>
    <w:rsid w:val="003C7594"/>
    <w:rsid w:val="003C75DA"/>
    <w:rsid w:val="003C7618"/>
    <w:rsid w:val="003C7806"/>
    <w:rsid w:val="003C7E70"/>
    <w:rsid w:val="003D109F"/>
    <w:rsid w:val="003D1528"/>
    <w:rsid w:val="003D1DC3"/>
    <w:rsid w:val="003D1F67"/>
    <w:rsid w:val="003D2478"/>
    <w:rsid w:val="003D25B4"/>
    <w:rsid w:val="003D28BA"/>
    <w:rsid w:val="003D29CD"/>
    <w:rsid w:val="003D3111"/>
    <w:rsid w:val="003D3804"/>
    <w:rsid w:val="003D386D"/>
    <w:rsid w:val="003D3C45"/>
    <w:rsid w:val="003D44FC"/>
    <w:rsid w:val="003D59FF"/>
    <w:rsid w:val="003D5B1F"/>
    <w:rsid w:val="003D5C41"/>
    <w:rsid w:val="003D5F37"/>
    <w:rsid w:val="003D68A5"/>
    <w:rsid w:val="003D691D"/>
    <w:rsid w:val="003D6E8E"/>
    <w:rsid w:val="003D7651"/>
    <w:rsid w:val="003D7786"/>
    <w:rsid w:val="003D78C1"/>
    <w:rsid w:val="003D7F69"/>
    <w:rsid w:val="003D7F9D"/>
    <w:rsid w:val="003E07A7"/>
    <w:rsid w:val="003E1283"/>
    <w:rsid w:val="003E1498"/>
    <w:rsid w:val="003E15AE"/>
    <w:rsid w:val="003E15FA"/>
    <w:rsid w:val="003E1A47"/>
    <w:rsid w:val="003E230A"/>
    <w:rsid w:val="003E2335"/>
    <w:rsid w:val="003E23F2"/>
    <w:rsid w:val="003E312F"/>
    <w:rsid w:val="003E31E8"/>
    <w:rsid w:val="003E37FE"/>
    <w:rsid w:val="003E48A3"/>
    <w:rsid w:val="003E55E4"/>
    <w:rsid w:val="003E5D4B"/>
    <w:rsid w:val="003E60A4"/>
    <w:rsid w:val="003E7135"/>
    <w:rsid w:val="003E7339"/>
    <w:rsid w:val="003E74E3"/>
    <w:rsid w:val="003E7625"/>
    <w:rsid w:val="003E7B20"/>
    <w:rsid w:val="003F05C7"/>
    <w:rsid w:val="003F07F2"/>
    <w:rsid w:val="003F08A9"/>
    <w:rsid w:val="003F0C54"/>
    <w:rsid w:val="003F0E1D"/>
    <w:rsid w:val="003F19BA"/>
    <w:rsid w:val="003F1B22"/>
    <w:rsid w:val="003F2C22"/>
    <w:rsid w:val="003F2CD4"/>
    <w:rsid w:val="003F2DF5"/>
    <w:rsid w:val="003F34FC"/>
    <w:rsid w:val="003F3D2D"/>
    <w:rsid w:val="003F4313"/>
    <w:rsid w:val="003F44A7"/>
    <w:rsid w:val="003F5250"/>
    <w:rsid w:val="003F5B0A"/>
    <w:rsid w:val="003F5DB5"/>
    <w:rsid w:val="003F6030"/>
    <w:rsid w:val="003F650B"/>
    <w:rsid w:val="003F6BBE"/>
    <w:rsid w:val="003F797E"/>
    <w:rsid w:val="003F7A24"/>
    <w:rsid w:val="004000B7"/>
    <w:rsid w:val="004000E8"/>
    <w:rsid w:val="004000EE"/>
    <w:rsid w:val="004004C5"/>
    <w:rsid w:val="00400597"/>
    <w:rsid w:val="0040091A"/>
    <w:rsid w:val="00400B46"/>
    <w:rsid w:val="00400E3B"/>
    <w:rsid w:val="0040171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512B"/>
    <w:rsid w:val="0040532C"/>
    <w:rsid w:val="00405501"/>
    <w:rsid w:val="00405CA5"/>
    <w:rsid w:val="004072D8"/>
    <w:rsid w:val="00407313"/>
    <w:rsid w:val="00407CD3"/>
    <w:rsid w:val="00410134"/>
    <w:rsid w:val="004103BF"/>
    <w:rsid w:val="00410526"/>
    <w:rsid w:val="00410B72"/>
    <w:rsid w:val="00410F18"/>
    <w:rsid w:val="00411202"/>
    <w:rsid w:val="00411F1D"/>
    <w:rsid w:val="0041263E"/>
    <w:rsid w:val="004126F7"/>
    <w:rsid w:val="004127BC"/>
    <w:rsid w:val="00412BA5"/>
    <w:rsid w:val="00412FCB"/>
    <w:rsid w:val="00413182"/>
    <w:rsid w:val="004135C2"/>
    <w:rsid w:val="00413AAC"/>
    <w:rsid w:val="00413E92"/>
    <w:rsid w:val="00414024"/>
    <w:rsid w:val="00414B38"/>
    <w:rsid w:val="00415B91"/>
    <w:rsid w:val="00415C12"/>
    <w:rsid w:val="004161FA"/>
    <w:rsid w:val="00417BF5"/>
    <w:rsid w:val="00420BD3"/>
    <w:rsid w:val="00421105"/>
    <w:rsid w:val="00421ED2"/>
    <w:rsid w:val="0042249A"/>
    <w:rsid w:val="00422AA4"/>
    <w:rsid w:val="0042380D"/>
    <w:rsid w:val="00423BDD"/>
    <w:rsid w:val="00424297"/>
    <w:rsid w:val="004242F4"/>
    <w:rsid w:val="00425034"/>
    <w:rsid w:val="00425FD9"/>
    <w:rsid w:val="00426122"/>
    <w:rsid w:val="00426717"/>
    <w:rsid w:val="00426818"/>
    <w:rsid w:val="00426A90"/>
    <w:rsid w:val="00427248"/>
    <w:rsid w:val="00427A6D"/>
    <w:rsid w:val="00427B30"/>
    <w:rsid w:val="004300FF"/>
    <w:rsid w:val="0043043F"/>
    <w:rsid w:val="004306CA"/>
    <w:rsid w:val="004311D2"/>
    <w:rsid w:val="004313B7"/>
    <w:rsid w:val="00431611"/>
    <w:rsid w:val="00431944"/>
    <w:rsid w:val="00431F73"/>
    <w:rsid w:val="00432555"/>
    <w:rsid w:val="004328AE"/>
    <w:rsid w:val="00433544"/>
    <w:rsid w:val="00433C2E"/>
    <w:rsid w:val="00433C46"/>
    <w:rsid w:val="0043442E"/>
    <w:rsid w:val="00434B93"/>
    <w:rsid w:val="00434F41"/>
    <w:rsid w:val="00435CE6"/>
    <w:rsid w:val="00436596"/>
    <w:rsid w:val="00436600"/>
    <w:rsid w:val="00436D80"/>
    <w:rsid w:val="00437447"/>
    <w:rsid w:val="00437DD5"/>
    <w:rsid w:val="00440761"/>
    <w:rsid w:val="00440A0A"/>
    <w:rsid w:val="00441A92"/>
    <w:rsid w:val="00441B96"/>
    <w:rsid w:val="00441EB7"/>
    <w:rsid w:val="00442631"/>
    <w:rsid w:val="00442F76"/>
    <w:rsid w:val="004431DC"/>
    <w:rsid w:val="00443557"/>
    <w:rsid w:val="00444071"/>
    <w:rsid w:val="00444251"/>
    <w:rsid w:val="00444664"/>
    <w:rsid w:val="00444E0A"/>
    <w:rsid w:val="00444F56"/>
    <w:rsid w:val="00445423"/>
    <w:rsid w:val="00445595"/>
    <w:rsid w:val="00445811"/>
    <w:rsid w:val="00445CD7"/>
    <w:rsid w:val="00445FB3"/>
    <w:rsid w:val="0044601D"/>
    <w:rsid w:val="00446266"/>
    <w:rsid w:val="00446488"/>
    <w:rsid w:val="00446D4C"/>
    <w:rsid w:val="004474A8"/>
    <w:rsid w:val="00447955"/>
    <w:rsid w:val="00450516"/>
    <w:rsid w:val="004506AB"/>
    <w:rsid w:val="004517AA"/>
    <w:rsid w:val="00451967"/>
    <w:rsid w:val="004525EA"/>
    <w:rsid w:val="00452B01"/>
    <w:rsid w:val="00452CAC"/>
    <w:rsid w:val="00453591"/>
    <w:rsid w:val="0045411A"/>
    <w:rsid w:val="00455061"/>
    <w:rsid w:val="004552A2"/>
    <w:rsid w:val="0045543A"/>
    <w:rsid w:val="00455E4A"/>
    <w:rsid w:val="0045622F"/>
    <w:rsid w:val="004565DE"/>
    <w:rsid w:val="0045699F"/>
    <w:rsid w:val="004574C8"/>
    <w:rsid w:val="00457565"/>
    <w:rsid w:val="00457B71"/>
    <w:rsid w:val="00457FA6"/>
    <w:rsid w:val="004604E5"/>
    <w:rsid w:val="00460887"/>
    <w:rsid w:val="00460E09"/>
    <w:rsid w:val="0046183B"/>
    <w:rsid w:val="0046194E"/>
    <w:rsid w:val="00461C7D"/>
    <w:rsid w:val="00462A49"/>
    <w:rsid w:val="00462DAF"/>
    <w:rsid w:val="00462DB0"/>
    <w:rsid w:val="00462E70"/>
    <w:rsid w:val="004649D0"/>
    <w:rsid w:val="00464FE2"/>
    <w:rsid w:val="00465090"/>
    <w:rsid w:val="004651EF"/>
    <w:rsid w:val="00465644"/>
    <w:rsid w:val="00465997"/>
    <w:rsid w:val="004669E2"/>
    <w:rsid w:val="00467478"/>
    <w:rsid w:val="00467CCA"/>
    <w:rsid w:val="00467D75"/>
    <w:rsid w:val="004704CE"/>
    <w:rsid w:val="00470638"/>
    <w:rsid w:val="00470C31"/>
    <w:rsid w:val="00471DE0"/>
    <w:rsid w:val="004721BC"/>
    <w:rsid w:val="004721F9"/>
    <w:rsid w:val="00472558"/>
    <w:rsid w:val="004726E4"/>
    <w:rsid w:val="00472FDA"/>
    <w:rsid w:val="00473147"/>
    <w:rsid w:val="004734D0"/>
    <w:rsid w:val="00473C75"/>
    <w:rsid w:val="00474660"/>
    <w:rsid w:val="00474B7E"/>
    <w:rsid w:val="004753C6"/>
    <w:rsid w:val="00475532"/>
    <w:rsid w:val="0047556B"/>
    <w:rsid w:val="0047632F"/>
    <w:rsid w:val="00476569"/>
    <w:rsid w:val="00476961"/>
    <w:rsid w:val="00477451"/>
    <w:rsid w:val="00477753"/>
    <w:rsid w:val="00477768"/>
    <w:rsid w:val="00477947"/>
    <w:rsid w:val="00477A69"/>
    <w:rsid w:val="00477ED5"/>
    <w:rsid w:val="004800FA"/>
    <w:rsid w:val="004802B5"/>
    <w:rsid w:val="004803DB"/>
    <w:rsid w:val="00480415"/>
    <w:rsid w:val="004814F4"/>
    <w:rsid w:val="00481ADE"/>
    <w:rsid w:val="00481B71"/>
    <w:rsid w:val="0048226A"/>
    <w:rsid w:val="00482600"/>
    <w:rsid w:val="00483282"/>
    <w:rsid w:val="00483494"/>
    <w:rsid w:val="004838A5"/>
    <w:rsid w:val="00484559"/>
    <w:rsid w:val="004851CF"/>
    <w:rsid w:val="00485C81"/>
    <w:rsid w:val="00485DDA"/>
    <w:rsid w:val="004862B2"/>
    <w:rsid w:val="004868E3"/>
    <w:rsid w:val="0048774F"/>
    <w:rsid w:val="00487857"/>
    <w:rsid w:val="00487C74"/>
    <w:rsid w:val="00487C79"/>
    <w:rsid w:val="00487CC7"/>
    <w:rsid w:val="00487D62"/>
    <w:rsid w:val="00487E8F"/>
    <w:rsid w:val="00490194"/>
    <w:rsid w:val="004901BD"/>
    <w:rsid w:val="004904BB"/>
    <w:rsid w:val="00490562"/>
    <w:rsid w:val="00491313"/>
    <w:rsid w:val="00491697"/>
    <w:rsid w:val="00491752"/>
    <w:rsid w:val="00491C62"/>
    <w:rsid w:val="004921CD"/>
    <w:rsid w:val="00492AE0"/>
    <w:rsid w:val="00492BC5"/>
    <w:rsid w:val="00492CF7"/>
    <w:rsid w:val="00493595"/>
    <w:rsid w:val="00493C2B"/>
    <w:rsid w:val="00494354"/>
    <w:rsid w:val="0049488C"/>
    <w:rsid w:val="00494EC2"/>
    <w:rsid w:val="0049531B"/>
    <w:rsid w:val="00495393"/>
    <w:rsid w:val="0049558B"/>
    <w:rsid w:val="00495754"/>
    <w:rsid w:val="004958EB"/>
    <w:rsid w:val="00495D44"/>
    <w:rsid w:val="004964F1"/>
    <w:rsid w:val="00496609"/>
    <w:rsid w:val="00497D7B"/>
    <w:rsid w:val="00497F95"/>
    <w:rsid w:val="004A086A"/>
    <w:rsid w:val="004A08C5"/>
    <w:rsid w:val="004A0D9C"/>
    <w:rsid w:val="004A0E7A"/>
    <w:rsid w:val="004A16BC"/>
    <w:rsid w:val="004A18DC"/>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7201"/>
    <w:rsid w:val="004A74B5"/>
    <w:rsid w:val="004A7526"/>
    <w:rsid w:val="004A7B48"/>
    <w:rsid w:val="004A7C63"/>
    <w:rsid w:val="004B0659"/>
    <w:rsid w:val="004B0B42"/>
    <w:rsid w:val="004B17D1"/>
    <w:rsid w:val="004B17FF"/>
    <w:rsid w:val="004B1C8B"/>
    <w:rsid w:val="004B1D99"/>
    <w:rsid w:val="004B1E28"/>
    <w:rsid w:val="004B1ED8"/>
    <w:rsid w:val="004B2683"/>
    <w:rsid w:val="004B2FB1"/>
    <w:rsid w:val="004B3A59"/>
    <w:rsid w:val="004B4854"/>
    <w:rsid w:val="004B49FB"/>
    <w:rsid w:val="004B553B"/>
    <w:rsid w:val="004B5AE8"/>
    <w:rsid w:val="004B5E80"/>
    <w:rsid w:val="004B6318"/>
    <w:rsid w:val="004B69EB"/>
    <w:rsid w:val="004B6BFA"/>
    <w:rsid w:val="004B6EEF"/>
    <w:rsid w:val="004B6F6A"/>
    <w:rsid w:val="004B743D"/>
    <w:rsid w:val="004B74CD"/>
    <w:rsid w:val="004B7915"/>
    <w:rsid w:val="004B7C0C"/>
    <w:rsid w:val="004C0688"/>
    <w:rsid w:val="004C07A4"/>
    <w:rsid w:val="004C0957"/>
    <w:rsid w:val="004C1A74"/>
    <w:rsid w:val="004C28E9"/>
    <w:rsid w:val="004C2CB9"/>
    <w:rsid w:val="004C2D86"/>
    <w:rsid w:val="004C2FE9"/>
    <w:rsid w:val="004C3898"/>
    <w:rsid w:val="004C4B7D"/>
    <w:rsid w:val="004C5737"/>
    <w:rsid w:val="004C58B3"/>
    <w:rsid w:val="004C5AEA"/>
    <w:rsid w:val="004C5BBC"/>
    <w:rsid w:val="004C5DEB"/>
    <w:rsid w:val="004C733D"/>
    <w:rsid w:val="004C784D"/>
    <w:rsid w:val="004C787E"/>
    <w:rsid w:val="004C7B88"/>
    <w:rsid w:val="004C7E05"/>
    <w:rsid w:val="004D1E16"/>
    <w:rsid w:val="004D35C3"/>
    <w:rsid w:val="004D36B1"/>
    <w:rsid w:val="004D44FE"/>
    <w:rsid w:val="004D4870"/>
    <w:rsid w:val="004D55A3"/>
    <w:rsid w:val="004D6007"/>
    <w:rsid w:val="004D6461"/>
    <w:rsid w:val="004D6464"/>
    <w:rsid w:val="004D7231"/>
    <w:rsid w:val="004D75CB"/>
    <w:rsid w:val="004D79A9"/>
    <w:rsid w:val="004D7A8B"/>
    <w:rsid w:val="004D7CD6"/>
    <w:rsid w:val="004D7EBD"/>
    <w:rsid w:val="004E0565"/>
    <w:rsid w:val="004E065F"/>
    <w:rsid w:val="004E066F"/>
    <w:rsid w:val="004E0D0B"/>
    <w:rsid w:val="004E1735"/>
    <w:rsid w:val="004E1B6C"/>
    <w:rsid w:val="004E2680"/>
    <w:rsid w:val="004E28F9"/>
    <w:rsid w:val="004E31A6"/>
    <w:rsid w:val="004E3592"/>
    <w:rsid w:val="004E3A39"/>
    <w:rsid w:val="004E3DD9"/>
    <w:rsid w:val="004E3E86"/>
    <w:rsid w:val="004E3F18"/>
    <w:rsid w:val="004E462E"/>
    <w:rsid w:val="004E4661"/>
    <w:rsid w:val="004E4A23"/>
    <w:rsid w:val="004E4AB4"/>
    <w:rsid w:val="004E4B41"/>
    <w:rsid w:val="004E540B"/>
    <w:rsid w:val="004E54B9"/>
    <w:rsid w:val="004E5638"/>
    <w:rsid w:val="004E56DC"/>
    <w:rsid w:val="004E5DAF"/>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2CD0"/>
    <w:rsid w:val="004F324E"/>
    <w:rsid w:val="004F35CB"/>
    <w:rsid w:val="004F4117"/>
    <w:rsid w:val="004F4716"/>
    <w:rsid w:val="004F4C57"/>
    <w:rsid w:val="004F4D51"/>
    <w:rsid w:val="004F4DA3"/>
    <w:rsid w:val="004F5249"/>
    <w:rsid w:val="004F541E"/>
    <w:rsid w:val="004F557A"/>
    <w:rsid w:val="004F5BB2"/>
    <w:rsid w:val="004F6350"/>
    <w:rsid w:val="004F694F"/>
    <w:rsid w:val="004F6FB7"/>
    <w:rsid w:val="004F7156"/>
    <w:rsid w:val="004F7224"/>
    <w:rsid w:val="004F76AA"/>
    <w:rsid w:val="005007BC"/>
    <w:rsid w:val="00500A64"/>
    <w:rsid w:val="00500CEB"/>
    <w:rsid w:val="00500FF7"/>
    <w:rsid w:val="005010D8"/>
    <w:rsid w:val="005012BF"/>
    <w:rsid w:val="0050191B"/>
    <w:rsid w:val="00501B78"/>
    <w:rsid w:val="00501D63"/>
    <w:rsid w:val="005026DB"/>
    <w:rsid w:val="00502837"/>
    <w:rsid w:val="00502F30"/>
    <w:rsid w:val="005035C4"/>
    <w:rsid w:val="00503EB3"/>
    <w:rsid w:val="0050417E"/>
    <w:rsid w:val="00505B05"/>
    <w:rsid w:val="00506557"/>
    <w:rsid w:val="0050677A"/>
    <w:rsid w:val="0050720D"/>
    <w:rsid w:val="005076AC"/>
    <w:rsid w:val="00507735"/>
    <w:rsid w:val="00510660"/>
    <w:rsid w:val="005107DC"/>
    <w:rsid w:val="005108D8"/>
    <w:rsid w:val="00511509"/>
    <w:rsid w:val="005116F9"/>
    <w:rsid w:val="00512F96"/>
    <w:rsid w:val="00512FDE"/>
    <w:rsid w:val="00513C16"/>
    <w:rsid w:val="005141FF"/>
    <w:rsid w:val="005142C8"/>
    <w:rsid w:val="005144A9"/>
    <w:rsid w:val="0051533F"/>
    <w:rsid w:val="005153A7"/>
    <w:rsid w:val="00515574"/>
    <w:rsid w:val="0051559F"/>
    <w:rsid w:val="00516A45"/>
    <w:rsid w:val="00516DE7"/>
    <w:rsid w:val="0051776F"/>
    <w:rsid w:val="005205DD"/>
    <w:rsid w:val="00520ADE"/>
    <w:rsid w:val="005214CE"/>
    <w:rsid w:val="005219CF"/>
    <w:rsid w:val="00523F57"/>
    <w:rsid w:val="0052463B"/>
    <w:rsid w:val="0052469A"/>
    <w:rsid w:val="00524BAF"/>
    <w:rsid w:val="00524D47"/>
    <w:rsid w:val="00525196"/>
    <w:rsid w:val="0052673F"/>
    <w:rsid w:val="00526A4E"/>
    <w:rsid w:val="00527553"/>
    <w:rsid w:val="005275F5"/>
    <w:rsid w:val="00527893"/>
    <w:rsid w:val="00527C56"/>
    <w:rsid w:val="005306CC"/>
    <w:rsid w:val="00530C43"/>
    <w:rsid w:val="00530E20"/>
    <w:rsid w:val="00530FAF"/>
    <w:rsid w:val="0053129F"/>
    <w:rsid w:val="005313CA"/>
    <w:rsid w:val="00531A6C"/>
    <w:rsid w:val="00531D9C"/>
    <w:rsid w:val="00531ED6"/>
    <w:rsid w:val="00532A56"/>
    <w:rsid w:val="00532A6D"/>
    <w:rsid w:val="005331C2"/>
    <w:rsid w:val="00533548"/>
    <w:rsid w:val="00533D56"/>
    <w:rsid w:val="005342D9"/>
    <w:rsid w:val="00534507"/>
    <w:rsid w:val="00534761"/>
    <w:rsid w:val="00534B59"/>
    <w:rsid w:val="00534ED4"/>
    <w:rsid w:val="005359ED"/>
    <w:rsid w:val="00535DE1"/>
    <w:rsid w:val="00536455"/>
    <w:rsid w:val="0053661E"/>
    <w:rsid w:val="00536759"/>
    <w:rsid w:val="00536D3D"/>
    <w:rsid w:val="00536F16"/>
    <w:rsid w:val="00537C62"/>
    <w:rsid w:val="00537F75"/>
    <w:rsid w:val="005407EA"/>
    <w:rsid w:val="00540B70"/>
    <w:rsid w:val="00540D8B"/>
    <w:rsid w:val="00541C8C"/>
    <w:rsid w:val="00542B7F"/>
    <w:rsid w:val="00542D1F"/>
    <w:rsid w:val="00543190"/>
    <w:rsid w:val="00543701"/>
    <w:rsid w:val="0054416F"/>
    <w:rsid w:val="00544FF1"/>
    <w:rsid w:val="0054501A"/>
    <w:rsid w:val="00545238"/>
    <w:rsid w:val="00545905"/>
    <w:rsid w:val="005464C1"/>
    <w:rsid w:val="005468EF"/>
    <w:rsid w:val="00546970"/>
    <w:rsid w:val="005470FE"/>
    <w:rsid w:val="005507EB"/>
    <w:rsid w:val="005508FD"/>
    <w:rsid w:val="00550A7F"/>
    <w:rsid w:val="00550D7E"/>
    <w:rsid w:val="00551888"/>
    <w:rsid w:val="00551B78"/>
    <w:rsid w:val="00551F0D"/>
    <w:rsid w:val="0055231A"/>
    <w:rsid w:val="00552670"/>
    <w:rsid w:val="0055273E"/>
    <w:rsid w:val="00552CDC"/>
    <w:rsid w:val="00553013"/>
    <w:rsid w:val="0055342B"/>
    <w:rsid w:val="00553620"/>
    <w:rsid w:val="005536A8"/>
    <w:rsid w:val="0055380E"/>
    <w:rsid w:val="0055381B"/>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60FE4"/>
    <w:rsid w:val="0056121F"/>
    <w:rsid w:val="0056122E"/>
    <w:rsid w:val="00562384"/>
    <w:rsid w:val="005633CE"/>
    <w:rsid w:val="00564127"/>
    <w:rsid w:val="00564148"/>
    <w:rsid w:val="00564302"/>
    <w:rsid w:val="0056490E"/>
    <w:rsid w:val="00564E2E"/>
    <w:rsid w:val="00564FD2"/>
    <w:rsid w:val="005651DD"/>
    <w:rsid w:val="0056538F"/>
    <w:rsid w:val="0056701D"/>
    <w:rsid w:val="005670F7"/>
    <w:rsid w:val="00567A15"/>
    <w:rsid w:val="00570248"/>
    <w:rsid w:val="00570714"/>
    <w:rsid w:val="005708CC"/>
    <w:rsid w:val="00570A9D"/>
    <w:rsid w:val="00570BD5"/>
    <w:rsid w:val="00572505"/>
    <w:rsid w:val="0057295B"/>
    <w:rsid w:val="00573730"/>
    <w:rsid w:val="0057432B"/>
    <w:rsid w:val="005746DF"/>
    <w:rsid w:val="00574BD1"/>
    <w:rsid w:val="005754D2"/>
    <w:rsid w:val="005763A2"/>
    <w:rsid w:val="0057646B"/>
    <w:rsid w:val="00576528"/>
    <w:rsid w:val="005768DA"/>
    <w:rsid w:val="005772AC"/>
    <w:rsid w:val="0057797F"/>
    <w:rsid w:val="00577C1F"/>
    <w:rsid w:val="00580424"/>
    <w:rsid w:val="005804B2"/>
    <w:rsid w:val="005808BC"/>
    <w:rsid w:val="00580AB7"/>
    <w:rsid w:val="00580B34"/>
    <w:rsid w:val="00582047"/>
    <w:rsid w:val="00582114"/>
    <w:rsid w:val="005821DA"/>
    <w:rsid w:val="00582809"/>
    <w:rsid w:val="00582A15"/>
    <w:rsid w:val="00582CC8"/>
    <w:rsid w:val="0058328B"/>
    <w:rsid w:val="0058349F"/>
    <w:rsid w:val="005835FE"/>
    <w:rsid w:val="0058465A"/>
    <w:rsid w:val="00584871"/>
    <w:rsid w:val="00584EC7"/>
    <w:rsid w:val="005867AB"/>
    <w:rsid w:val="00586CF6"/>
    <w:rsid w:val="00586F43"/>
    <w:rsid w:val="00586FF6"/>
    <w:rsid w:val="00587915"/>
    <w:rsid w:val="0058798C"/>
    <w:rsid w:val="005900FA"/>
    <w:rsid w:val="005902A1"/>
    <w:rsid w:val="00590525"/>
    <w:rsid w:val="00590BE2"/>
    <w:rsid w:val="005913D0"/>
    <w:rsid w:val="00591465"/>
    <w:rsid w:val="00591833"/>
    <w:rsid w:val="005918B3"/>
    <w:rsid w:val="00592044"/>
    <w:rsid w:val="0059213D"/>
    <w:rsid w:val="00592164"/>
    <w:rsid w:val="00592A07"/>
    <w:rsid w:val="005935A4"/>
    <w:rsid w:val="0059371D"/>
    <w:rsid w:val="00594771"/>
    <w:rsid w:val="005948C2"/>
    <w:rsid w:val="00594B03"/>
    <w:rsid w:val="005958C6"/>
    <w:rsid w:val="00595DCA"/>
    <w:rsid w:val="00595DD0"/>
    <w:rsid w:val="00595DF5"/>
    <w:rsid w:val="00595EF1"/>
    <w:rsid w:val="00596B3B"/>
    <w:rsid w:val="0059773C"/>
    <w:rsid w:val="0059775E"/>
    <w:rsid w:val="0059779B"/>
    <w:rsid w:val="00597939"/>
    <w:rsid w:val="005A0089"/>
    <w:rsid w:val="005A054A"/>
    <w:rsid w:val="005A0597"/>
    <w:rsid w:val="005A06A6"/>
    <w:rsid w:val="005A1AC2"/>
    <w:rsid w:val="005A1E53"/>
    <w:rsid w:val="005A209A"/>
    <w:rsid w:val="005A272F"/>
    <w:rsid w:val="005A27F6"/>
    <w:rsid w:val="005A2D72"/>
    <w:rsid w:val="005A38B4"/>
    <w:rsid w:val="005A39C7"/>
    <w:rsid w:val="005A3B62"/>
    <w:rsid w:val="005A4CDD"/>
    <w:rsid w:val="005A514C"/>
    <w:rsid w:val="005A5622"/>
    <w:rsid w:val="005A5845"/>
    <w:rsid w:val="005A5D98"/>
    <w:rsid w:val="005A5EAA"/>
    <w:rsid w:val="005A662D"/>
    <w:rsid w:val="005A7554"/>
    <w:rsid w:val="005A78AE"/>
    <w:rsid w:val="005A7CBF"/>
    <w:rsid w:val="005A7E19"/>
    <w:rsid w:val="005B0B9F"/>
    <w:rsid w:val="005B1409"/>
    <w:rsid w:val="005B159C"/>
    <w:rsid w:val="005B1793"/>
    <w:rsid w:val="005B2200"/>
    <w:rsid w:val="005B2700"/>
    <w:rsid w:val="005B30A9"/>
    <w:rsid w:val="005B331E"/>
    <w:rsid w:val="005B3426"/>
    <w:rsid w:val="005B35D7"/>
    <w:rsid w:val="005B392A"/>
    <w:rsid w:val="005B39DE"/>
    <w:rsid w:val="005B3A71"/>
    <w:rsid w:val="005B3AA3"/>
    <w:rsid w:val="005B4183"/>
    <w:rsid w:val="005B474F"/>
    <w:rsid w:val="005B52EB"/>
    <w:rsid w:val="005B56FD"/>
    <w:rsid w:val="005B66C7"/>
    <w:rsid w:val="005B67D9"/>
    <w:rsid w:val="005B6F83"/>
    <w:rsid w:val="005B7517"/>
    <w:rsid w:val="005B79B0"/>
    <w:rsid w:val="005B7C66"/>
    <w:rsid w:val="005C0236"/>
    <w:rsid w:val="005C02BA"/>
    <w:rsid w:val="005C0305"/>
    <w:rsid w:val="005C0602"/>
    <w:rsid w:val="005C082E"/>
    <w:rsid w:val="005C0838"/>
    <w:rsid w:val="005C087A"/>
    <w:rsid w:val="005C09A3"/>
    <w:rsid w:val="005C0D2B"/>
    <w:rsid w:val="005C15EF"/>
    <w:rsid w:val="005C1A36"/>
    <w:rsid w:val="005C544C"/>
    <w:rsid w:val="005C562E"/>
    <w:rsid w:val="005C6D06"/>
    <w:rsid w:val="005C74FB"/>
    <w:rsid w:val="005C775D"/>
    <w:rsid w:val="005C7B84"/>
    <w:rsid w:val="005D04B5"/>
    <w:rsid w:val="005D10CC"/>
    <w:rsid w:val="005D13A6"/>
    <w:rsid w:val="005D1602"/>
    <w:rsid w:val="005D168C"/>
    <w:rsid w:val="005D1697"/>
    <w:rsid w:val="005D1AEF"/>
    <w:rsid w:val="005D2172"/>
    <w:rsid w:val="005D21F2"/>
    <w:rsid w:val="005D2F62"/>
    <w:rsid w:val="005D481A"/>
    <w:rsid w:val="005D48FF"/>
    <w:rsid w:val="005D60BF"/>
    <w:rsid w:val="005D6AF5"/>
    <w:rsid w:val="005D6B46"/>
    <w:rsid w:val="005D6B62"/>
    <w:rsid w:val="005D6C1B"/>
    <w:rsid w:val="005D6FA1"/>
    <w:rsid w:val="005D6FE1"/>
    <w:rsid w:val="005D7398"/>
    <w:rsid w:val="005E00E8"/>
    <w:rsid w:val="005E031F"/>
    <w:rsid w:val="005E094C"/>
    <w:rsid w:val="005E09FD"/>
    <w:rsid w:val="005E0CAE"/>
    <w:rsid w:val="005E1566"/>
    <w:rsid w:val="005E17C9"/>
    <w:rsid w:val="005E2306"/>
    <w:rsid w:val="005E385F"/>
    <w:rsid w:val="005E3D84"/>
    <w:rsid w:val="005E4A5A"/>
    <w:rsid w:val="005E59BE"/>
    <w:rsid w:val="005E5B81"/>
    <w:rsid w:val="005E5EEF"/>
    <w:rsid w:val="005E6010"/>
    <w:rsid w:val="005E629D"/>
    <w:rsid w:val="005E6405"/>
    <w:rsid w:val="005E659A"/>
    <w:rsid w:val="005E698E"/>
    <w:rsid w:val="005E6D10"/>
    <w:rsid w:val="005E7303"/>
    <w:rsid w:val="005E77BF"/>
    <w:rsid w:val="005F025E"/>
    <w:rsid w:val="005F065D"/>
    <w:rsid w:val="005F1319"/>
    <w:rsid w:val="005F147D"/>
    <w:rsid w:val="005F1957"/>
    <w:rsid w:val="005F1A1D"/>
    <w:rsid w:val="005F1E6F"/>
    <w:rsid w:val="005F2BE2"/>
    <w:rsid w:val="005F2CB1"/>
    <w:rsid w:val="005F3025"/>
    <w:rsid w:val="005F3492"/>
    <w:rsid w:val="005F3B0E"/>
    <w:rsid w:val="005F4460"/>
    <w:rsid w:val="005F457E"/>
    <w:rsid w:val="005F51C1"/>
    <w:rsid w:val="005F52B2"/>
    <w:rsid w:val="005F5B70"/>
    <w:rsid w:val="005F5D80"/>
    <w:rsid w:val="005F5F56"/>
    <w:rsid w:val="005F618C"/>
    <w:rsid w:val="005F66B5"/>
    <w:rsid w:val="005F6F5E"/>
    <w:rsid w:val="005F70BD"/>
    <w:rsid w:val="005F775A"/>
    <w:rsid w:val="005F7CBC"/>
    <w:rsid w:val="00600375"/>
    <w:rsid w:val="00600F0C"/>
    <w:rsid w:val="0060224B"/>
    <w:rsid w:val="0060283C"/>
    <w:rsid w:val="0060294D"/>
    <w:rsid w:val="00602D23"/>
    <w:rsid w:val="00602FA7"/>
    <w:rsid w:val="00602FE4"/>
    <w:rsid w:val="0060382D"/>
    <w:rsid w:val="00603EDF"/>
    <w:rsid w:val="0060493F"/>
    <w:rsid w:val="00604E76"/>
    <w:rsid w:val="00604F14"/>
    <w:rsid w:val="00605556"/>
    <w:rsid w:val="0060555A"/>
    <w:rsid w:val="006058A6"/>
    <w:rsid w:val="00605911"/>
    <w:rsid w:val="006066F2"/>
    <w:rsid w:val="00606815"/>
    <w:rsid w:val="00606D3D"/>
    <w:rsid w:val="00606FDF"/>
    <w:rsid w:val="00607229"/>
    <w:rsid w:val="006073A4"/>
    <w:rsid w:val="00607F56"/>
    <w:rsid w:val="0061007D"/>
    <w:rsid w:val="00611434"/>
    <w:rsid w:val="006116A6"/>
    <w:rsid w:val="00611B83"/>
    <w:rsid w:val="00611F85"/>
    <w:rsid w:val="00612140"/>
    <w:rsid w:val="0061297E"/>
    <w:rsid w:val="00612B4F"/>
    <w:rsid w:val="00612DE0"/>
    <w:rsid w:val="00612DFE"/>
    <w:rsid w:val="00612F14"/>
    <w:rsid w:val="00613257"/>
    <w:rsid w:val="006137B1"/>
    <w:rsid w:val="00613C31"/>
    <w:rsid w:val="00613DAD"/>
    <w:rsid w:val="00613E43"/>
    <w:rsid w:val="006147CD"/>
    <w:rsid w:val="00615904"/>
    <w:rsid w:val="006160F2"/>
    <w:rsid w:val="006167B5"/>
    <w:rsid w:val="00616B93"/>
    <w:rsid w:val="00617943"/>
    <w:rsid w:val="00617B82"/>
    <w:rsid w:val="00620194"/>
    <w:rsid w:val="006208EA"/>
    <w:rsid w:val="00620A71"/>
    <w:rsid w:val="00620D49"/>
    <w:rsid w:val="00620D80"/>
    <w:rsid w:val="00621656"/>
    <w:rsid w:val="006219BB"/>
    <w:rsid w:val="00621C35"/>
    <w:rsid w:val="006226E0"/>
    <w:rsid w:val="00622CBA"/>
    <w:rsid w:val="00623100"/>
    <w:rsid w:val="006233E7"/>
    <w:rsid w:val="006234A6"/>
    <w:rsid w:val="00623D92"/>
    <w:rsid w:val="00624070"/>
    <w:rsid w:val="006243C8"/>
    <w:rsid w:val="00624461"/>
    <w:rsid w:val="0062448E"/>
    <w:rsid w:val="006249DC"/>
    <w:rsid w:val="0062569F"/>
    <w:rsid w:val="00625CBD"/>
    <w:rsid w:val="00625D28"/>
    <w:rsid w:val="0062613C"/>
    <w:rsid w:val="006262D0"/>
    <w:rsid w:val="00626B8F"/>
    <w:rsid w:val="006272F1"/>
    <w:rsid w:val="006274AB"/>
    <w:rsid w:val="00630001"/>
    <w:rsid w:val="006301EB"/>
    <w:rsid w:val="006304D8"/>
    <w:rsid w:val="00630A9F"/>
    <w:rsid w:val="00630F29"/>
    <w:rsid w:val="006310AD"/>
    <w:rsid w:val="0063117B"/>
    <w:rsid w:val="006311B3"/>
    <w:rsid w:val="0063126C"/>
    <w:rsid w:val="0063135F"/>
    <w:rsid w:val="00631565"/>
    <w:rsid w:val="00632110"/>
    <w:rsid w:val="006325D4"/>
    <w:rsid w:val="006327EB"/>
    <w:rsid w:val="0063284C"/>
    <w:rsid w:val="00632A14"/>
    <w:rsid w:val="00633271"/>
    <w:rsid w:val="0063366A"/>
    <w:rsid w:val="00633B74"/>
    <w:rsid w:val="00635037"/>
    <w:rsid w:val="00635609"/>
    <w:rsid w:val="006357EA"/>
    <w:rsid w:val="00635994"/>
    <w:rsid w:val="006360C2"/>
    <w:rsid w:val="00636398"/>
    <w:rsid w:val="00636453"/>
    <w:rsid w:val="006368D3"/>
    <w:rsid w:val="0063707E"/>
    <w:rsid w:val="00637557"/>
    <w:rsid w:val="006377EC"/>
    <w:rsid w:val="006378CE"/>
    <w:rsid w:val="006379B0"/>
    <w:rsid w:val="00637A5F"/>
    <w:rsid w:val="00640471"/>
    <w:rsid w:val="0064151F"/>
    <w:rsid w:val="00641533"/>
    <w:rsid w:val="00641B70"/>
    <w:rsid w:val="0064208D"/>
    <w:rsid w:val="006420D7"/>
    <w:rsid w:val="00642113"/>
    <w:rsid w:val="0064229E"/>
    <w:rsid w:val="0064251E"/>
    <w:rsid w:val="0064288A"/>
    <w:rsid w:val="00642BC5"/>
    <w:rsid w:val="00642F77"/>
    <w:rsid w:val="00643475"/>
    <w:rsid w:val="00643739"/>
    <w:rsid w:val="0064396A"/>
    <w:rsid w:val="00643C36"/>
    <w:rsid w:val="00643FD5"/>
    <w:rsid w:val="0064414F"/>
    <w:rsid w:val="0064417F"/>
    <w:rsid w:val="00644264"/>
    <w:rsid w:val="0064455E"/>
    <w:rsid w:val="00645389"/>
    <w:rsid w:val="00645667"/>
    <w:rsid w:val="00645D44"/>
    <w:rsid w:val="0064607A"/>
    <w:rsid w:val="0064624E"/>
    <w:rsid w:val="00646DB5"/>
    <w:rsid w:val="00646E6A"/>
    <w:rsid w:val="006502C4"/>
    <w:rsid w:val="0065050D"/>
    <w:rsid w:val="0065081C"/>
    <w:rsid w:val="00650AB9"/>
    <w:rsid w:val="00651086"/>
    <w:rsid w:val="00651089"/>
    <w:rsid w:val="0065120E"/>
    <w:rsid w:val="006520B0"/>
    <w:rsid w:val="006523A8"/>
    <w:rsid w:val="00652A08"/>
    <w:rsid w:val="00652D7C"/>
    <w:rsid w:val="00652E2F"/>
    <w:rsid w:val="006535EC"/>
    <w:rsid w:val="00653DCB"/>
    <w:rsid w:val="00653F4E"/>
    <w:rsid w:val="0065430D"/>
    <w:rsid w:val="00654A95"/>
    <w:rsid w:val="00655295"/>
    <w:rsid w:val="006552CF"/>
    <w:rsid w:val="00655733"/>
    <w:rsid w:val="00655ACD"/>
    <w:rsid w:val="00656A92"/>
    <w:rsid w:val="00656DDE"/>
    <w:rsid w:val="006571C0"/>
    <w:rsid w:val="00657617"/>
    <w:rsid w:val="00657E14"/>
    <w:rsid w:val="0066011D"/>
    <w:rsid w:val="006607C0"/>
    <w:rsid w:val="006613A6"/>
    <w:rsid w:val="00661E84"/>
    <w:rsid w:val="00661F56"/>
    <w:rsid w:val="006627A2"/>
    <w:rsid w:val="0066294D"/>
    <w:rsid w:val="00662EAC"/>
    <w:rsid w:val="006634E6"/>
    <w:rsid w:val="00663DC5"/>
    <w:rsid w:val="006645D4"/>
    <w:rsid w:val="00665269"/>
    <w:rsid w:val="006655EE"/>
    <w:rsid w:val="006656BD"/>
    <w:rsid w:val="00665CA0"/>
    <w:rsid w:val="00665E3E"/>
    <w:rsid w:val="0066621D"/>
    <w:rsid w:val="006663E2"/>
    <w:rsid w:val="006664CE"/>
    <w:rsid w:val="00666949"/>
    <w:rsid w:val="00666966"/>
    <w:rsid w:val="00666C62"/>
    <w:rsid w:val="006678F0"/>
    <w:rsid w:val="00667A81"/>
    <w:rsid w:val="00667CB7"/>
    <w:rsid w:val="00667EE7"/>
    <w:rsid w:val="006700EF"/>
    <w:rsid w:val="00670127"/>
    <w:rsid w:val="0067036E"/>
    <w:rsid w:val="00670529"/>
    <w:rsid w:val="006705ED"/>
    <w:rsid w:val="00670832"/>
    <w:rsid w:val="00670922"/>
    <w:rsid w:val="00670A08"/>
    <w:rsid w:val="00670BD0"/>
    <w:rsid w:val="00670BE1"/>
    <w:rsid w:val="0067218F"/>
    <w:rsid w:val="00672549"/>
    <w:rsid w:val="006741F2"/>
    <w:rsid w:val="0067469A"/>
    <w:rsid w:val="00674CC3"/>
    <w:rsid w:val="0067528F"/>
    <w:rsid w:val="00675993"/>
    <w:rsid w:val="00675B4B"/>
    <w:rsid w:val="00675C43"/>
    <w:rsid w:val="00675C72"/>
    <w:rsid w:val="00676681"/>
    <w:rsid w:val="006769C5"/>
    <w:rsid w:val="00676DA0"/>
    <w:rsid w:val="006771F9"/>
    <w:rsid w:val="006776D7"/>
    <w:rsid w:val="00677B52"/>
    <w:rsid w:val="0068034D"/>
    <w:rsid w:val="006806FA"/>
    <w:rsid w:val="00681003"/>
    <w:rsid w:val="006813F4"/>
    <w:rsid w:val="0068174B"/>
    <w:rsid w:val="006817C9"/>
    <w:rsid w:val="0068180E"/>
    <w:rsid w:val="00682826"/>
    <w:rsid w:val="00682D35"/>
    <w:rsid w:val="00683EBD"/>
    <w:rsid w:val="00683ECE"/>
    <w:rsid w:val="00683F8F"/>
    <w:rsid w:val="0068411C"/>
    <w:rsid w:val="00684288"/>
    <w:rsid w:val="00684888"/>
    <w:rsid w:val="00684BC5"/>
    <w:rsid w:val="00684C80"/>
    <w:rsid w:val="00685A6A"/>
    <w:rsid w:val="00685DDA"/>
    <w:rsid w:val="00686065"/>
    <w:rsid w:val="0068658F"/>
    <w:rsid w:val="00686707"/>
    <w:rsid w:val="0068671A"/>
    <w:rsid w:val="00686EDF"/>
    <w:rsid w:val="006871E3"/>
    <w:rsid w:val="00690B63"/>
    <w:rsid w:val="00690D53"/>
    <w:rsid w:val="00690E10"/>
    <w:rsid w:val="006912B6"/>
    <w:rsid w:val="006915B0"/>
    <w:rsid w:val="006918E2"/>
    <w:rsid w:val="00692709"/>
    <w:rsid w:val="00693791"/>
    <w:rsid w:val="00693FFC"/>
    <w:rsid w:val="0069408A"/>
    <w:rsid w:val="00694B8A"/>
    <w:rsid w:val="00694EA1"/>
    <w:rsid w:val="00695CAA"/>
    <w:rsid w:val="00695FC2"/>
    <w:rsid w:val="00695FF2"/>
    <w:rsid w:val="00696949"/>
    <w:rsid w:val="00696B14"/>
    <w:rsid w:val="00697052"/>
    <w:rsid w:val="00697060"/>
    <w:rsid w:val="006974FC"/>
    <w:rsid w:val="006A0004"/>
    <w:rsid w:val="006A05E6"/>
    <w:rsid w:val="006A0A89"/>
    <w:rsid w:val="006A102C"/>
    <w:rsid w:val="006A1352"/>
    <w:rsid w:val="006A17F3"/>
    <w:rsid w:val="006A1EB1"/>
    <w:rsid w:val="006A20CE"/>
    <w:rsid w:val="006A2356"/>
    <w:rsid w:val="006A25FF"/>
    <w:rsid w:val="006A296B"/>
    <w:rsid w:val="006A30D0"/>
    <w:rsid w:val="006A3797"/>
    <w:rsid w:val="006A46FB"/>
    <w:rsid w:val="006A54A2"/>
    <w:rsid w:val="006A5664"/>
    <w:rsid w:val="006A59B2"/>
    <w:rsid w:val="006A5B61"/>
    <w:rsid w:val="006A5BE4"/>
    <w:rsid w:val="006A5CE1"/>
    <w:rsid w:val="006A5E28"/>
    <w:rsid w:val="006A5F6A"/>
    <w:rsid w:val="006A6183"/>
    <w:rsid w:val="006A697B"/>
    <w:rsid w:val="006A73C7"/>
    <w:rsid w:val="006A73FC"/>
    <w:rsid w:val="006A77B6"/>
    <w:rsid w:val="006A798D"/>
    <w:rsid w:val="006A7AFF"/>
    <w:rsid w:val="006A7CAA"/>
    <w:rsid w:val="006B0032"/>
    <w:rsid w:val="006B0743"/>
    <w:rsid w:val="006B0E92"/>
    <w:rsid w:val="006B109B"/>
    <w:rsid w:val="006B1816"/>
    <w:rsid w:val="006B1A6C"/>
    <w:rsid w:val="006B1EA8"/>
    <w:rsid w:val="006B2099"/>
    <w:rsid w:val="006B22C9"/>
    <w:rsid w:val="006B33C4"/>
    <w:rsid w:val="006B40CE"/>
    <w:rsid w:val="006B424B"/>
    <w:rsid w:val="006B458A"/>
    <w:rsid w:val="006B49B7"/>
    <w:rsid w:val="006B50CF"/>
    <w:rsid w:val="006B5A97"/>
    <w:rsid w:val="006B5B47"/>
    <w:rsid w:val="006B6277"/>
    <w:rsid w:val="006B62B3"/>
    <w:rsid w:val="006B6B5F"/>
    <w:rsid w:val="006B74A4"/>
    <w:rsid w:val="006B7646"/>
    <w:rsid w:val="006B7715"/>
    <w:rsid w:val="006B7EA7"/>
    <w:rsid w:val="006C00C1"/>
    <w:rsid w:val="006C03B8"/>
    <w:rsid w:val="006C03D7"/>
    <w:rsid w:val="006C042E"/>
    <w:rsid w:val="006C04A3"/>
    <w:rsid w:val="006C0647"/>
    <w:rsid w:val="006C0C32"/>
    <w:rsid w:val="006C0D88"/>
    <w:rsid w:val="006C1464"/>
    <w:rsid w:val="006C15AE"/>
    <w:rsid w:val="006C1D55"/>
    <w:rsid w:val="006C23E5"/>
    <w:rsid w:val="006C34AF"/>
    <w:rsid w:val="006C48F7"/>
    <w:rsid w:val="006C5085"/>
    <w:rsid w:val="006C51C8"/>
    <w:rsid w:val="006C52A2"/>
    <w:rsid w:val="006C5B78"/>
    <w:rsid w:val="006C5EC9"/>
    <w:rsid w:val="006C6059"/>
    <w:rsid w:val="006C61A8"/>
    <w:rsid w:val="006C66C6"/>
    <w:rsid w:val="006C6B8F"/>
    <w:rsid w:val="006C72A2"/>
    <w:rsid w:val="006C7522"/>
    <w:rsid w:val="006C7B7B"/>
    <w:rsid w:val="006C7FE8"/>
    <w:rsid w:val="006C7FFE"/>
    <w:rsid w:val="006D03E6"/>
    <w:rsid w:val="006D072A"/>
    <w:rsid w:val="006D0A11"/>
    <w:rsid w:val="006D17E0"/>
    <w:rsid w:val="006D18C3"/>
    <w:rsid w:val="006D1A5D"/>
    <w:rsid w:val="006D1C20"/>
    <w:rsid w:val="006D33E5"/>
    <w:rsid w:val="006D35D4"/>
    <w:rsid w:val="006D38D1"/>
    <w:rsid w:val="006D39F5"/>
    <w:rsid w:val="006D43D5"/>
    <w:rsid w:val="006D46E4"/>
    <w:rsid w:val="006D4745"/>
    <w:rsid w:val="006D494C"/>
    <w:rsid w:val="006D4DE8"/>
    <w:rsid w:val="006D4EF4"/>
    <w:rsid w:val="006D5369"/>
    <w:rsid w:val="006D56EA"/>
    <w:rsid w:val="006D5876"/>
    <w:rsid w:val="006D6F08"/>
    <w:rsid w:val="006D72B1"/>
    <w:rsid w:val="006D76CA"/>
    <w:rsid w:val="006D7DBF"/>
    <w:rsid w:val="006D7F13"/>
    <w:rsid w:val="006E0057"/>
    <w:rsid w:val="006E0266"/>
    <w:rsid w:val="006E03E3"/>
    <w:rsid w:val="006E062C"/>
    <w:rsid w:val="006E0681"/>
    <w:rsid w:val="006E0A41"/>
    <w:rsid w:val="006E0FC0"/>
    <w:rsid w:val="006E193A"/>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E39"/>
    <w:rsid w:val="006E5445"/>
    <w:rsid w:val="006E565E"/>
    <w:rsid w:val="006E5A8F"/>
    <w:rsid w:val="006E6010"/>
    <w:rsid w:val="006E673D"/>
    <w:rsid w:val="006E6A62"/>
    <w:rsid w:val="006E6A8D"/>
    <w:rsid w:val="006E71FA"/>
    <w:rsid w:val="006E7D3B"/>
    <w:rsid w:val="006F0EC4"/>
    <w:rsid w:val="006F1803"/>
    <w:rsid w:val="006F1AB6"/>
    <w:rsid w:val="006F1B70"/>
    <w:rsid w:val="006F2B1D"/>
    <w:rsid w:val="006F2E82"/>
    <w:rsid w:val="006F3131"/>
    <w:rsid w:val="006F341D"/>
    <w:rsid w:val="006F3CDE"/>
    <w:rsid w:val="006F4F3D"/>
    <w:rsid w:val="006F5467"/>
    <w:rsid w:val="006F5880"/>
    <w:rsid w:val="006F58D4"/>
    <w:rsid w:val="006F5993"/>
    <w:rsid w:val="006F60D8"/>
    <w:rsid w:val="006F6489"/>
    <w:rsid w:val="006F6523"/>
    <w:rsid w:val="006F6579"/>
    <w:rsid w:val="006F6582"/>
    <w:rsid w:val="006F68BE"/>
    <w:rsid w:val="0070051C"/>
    <w:rsid w:val="0070108D"/>
    <w:rsid w:val="007010A1"/>
    <w:rsid w:val="007010E2"/>
    <w:rsid w:val="00701708"/>
    <w:rsid w:val="0070219D"/>
    <w:rsid w:val="007021C8"/>
    <w:rsid w:val="00702869"/>
    <w:rsid w:val="00702F36"/>
    <w:rsid w:val="0070346E"/>
    <w:rsid w:val="00703CA9"/>
    <w:rsid w:val="00703E7E"/>
    <w:rsid w:val="00704EDB"/>
    <w:rsid w:val="00705068"/>
    <w:rsid w:val="007050FB"/>
    <w:rsid w:val="00705442"/>
    <w:rsid w:val="0070557E"/>
    <w:rsid w:val="007055C3"/>
    <w:rsid w:val="00706101"/>
    <w:rsid w:val="00706388"/>
    <w:rsid w:val="007064A5"/>
    <w:rsid w:val="00706A45"/>
    <w:rsid w:val="00706C3C"/>
    <w:rsid w:val="00706CF4"/>
    <w:rsid w:val="00707072"/>
    <w:rsid w:val="007073E5"/>
    <w:rsid w:val="007079B8"/>
    <w:rsid w:val="00707A81"/>
    <w:rsid w:val="00707D61"/>
    <w:rsid w:val="00710823"/>
    <w:rsid w:val="00710C6F"/>
    <w:rsid w:val="0071176C"/>
    <w:rsid w:val="0071180F"/>
    <w:rsid w:val="00712287"/>
    <w:rsid w:val="00712772"/>
    <w:rsid w:val="007128CA"/>
    <w:rsid w:val="00712BD4"/>
    <w:rsid w:val="00714299"/>
    <w:rsid w:val="007148D3"/>
    <w:rsid w:val="00714D87"/>
    <w:rsid w:val="00714F08"/>
    <w:rsid w:val="0071515D"/>
    <w:rsid w:val="00715B93"/>
    <w:rsid w:val="00715B9A"/>
    <w:rsid w:val="00715FD6"/>
    <w:rsid w:val="0071714D"/>
    <w:rsid w:val="00717260"/>
    <w:rsid w:val="007218DB"/>
    <w:rsid w:val="00721AF2"/>
    <w:rsid w:val="00722573"/>
    <w:rsid w:val="007229C9"/>
    <w:rsid w:val="007229F9"/>
    <w:rsid w:val="00723EEA"/>
    <w:rsid w:val="00724410"/>
    <w:rsid w:val="00724935"/>
    <w:rsid w:val="00724D2C"/>
    <w:rsid w:val="007257D0"/>
    <w:rsid w:val="00725B20"/>
    <w:rsid w:val="00725F02"/>
    <w:rsid w:val="007262D5"/>
    <w:rsid w:val="00726EA6"/>
    <w:rsid w:val="00727208"/>
    <w:rsid w:val="00727547"/>
    <w:rsid w:val="007275BD"/>
    <w:rsid w:val="00727680"/>
    <w:rsid w:val="0073053B"/>
    <w:rsid w:val="0073078C"/>
    <w:rsid w:val="007311B2"/>
    <w:rsid w:val="00732648"/>
    <w:rsid w:val="00732A61"/>
    <w:rsid w:val="00732DC0"/>
    <w:rsid w:val="00733DF6"/>
    <w:rsid w:val="00733E01"/>
    <w:rsid w:val="00733FCD"/>
    <w:rsid w:val="0073415A"/>
    <w:rsid w:val="007341C9"/>
    <w:rsid w:val="007345F8"/>
    <w:rsid w:val="007348B1"/>
    <w:rsid w:val="00734FF7"/>
    <w:rsid w:val="00735A51"/>
    <w:rsid w:val="00735B10"/>
    <w:rsid w:val="007362A6"/>
    <w:rsid w:val="007365E4"/>
    <w:rsid w:val="00736D7D"/>
    <w:rsid w:val="0073715D"/>
    <w:rsid w:val="007374CD"/>
    <w:rsid w:val="00737C03"/>
    <w:rsid w:val="00740E58"/>
    <w:rsid w:val="0074136F"/>
    <w:rsid w:val="00741ABD"/>
    <w:rsid w:val="00741AC2"/>
    <w:rsid w:val="00741B72"/>
    <w:rsid w:val="0074390C"/>
    <w:rsid w:val="00743BFF"/>
    <w:rsid w:val="00743FAE"/>
    <w:rsid w:val="00744484"/>
    <w:rsid w:val="007445A0"/>
    <w:rsid w:val="00744C8C"/>
    <w:rsid w:val="00744DD6"/>
    <w:rsid w:val="00744FE7"/>
    <w:rsid w:val="0074524B"/>
    <w:rsid w:val="0074527F"/>
    <w:rsid w:val="007454BF"/>
    <w:rsid w:val="00745546"/>
    <w:rsid w:val="00745B47"/>
    <w:rsid w:val="00745CFA"/>
    <w:rsid w:val="00746169"/>
    <w:rsid w:val="007465EA"/>
    <w:rsid w:val="00746894"/>
    <w:rsid w:val="00747284"/>
    <w:rsid w:val="00747482"/>
    <w:rsid w:val="007474AC"/>
    <w:rsid w:val="007476F6"/>
    <w:rsid w:val="00747D8B"/>
    <w:rsid w:val="00747E9F"/>
    <w:rsid w:val="007501F2"/>
    <w:rsid w:val="00750C70"/>
    <w:rsid w:val="00750DE5"/>
    <w:rsid w:val="00751228"/>
    <w:rsid w:val="0075123C"/>
    <w:rsid w:val="00751836"/>
    <w:rsid w:val="0075186A"/>
    <w:rsid w:val="007519EE"/>
    <w:rsid w:val="00751BEF"/>
    <w:rsid w:val="00752016"/>
    <w:rsid w:val="00752D0B"/>
    <w:rsid w:val="00752EB7"/>
    <w:rsid w:val="00753AE4"/>
    <w:rsid w:val="00753CEF"/>
    <w:rsid w:val="00753CFE"/>
    <w:rsid w:val="0075420D"/>
    <w:rsid w:val="00754AA3"/>
    <w:rsid w:val="00754CB5"/>
    <w:rsid w:val="007555ED"/>
    <w:rsid w:val="00755682"/>
    <w:rsid w:val="00755C19"/>
    <w:rsid w:val="0075615A"/>
    <w:rsid w:val="0075639A"/>
    <w:rsid w:val="00756EE6"/>
    <w:rsid w:val="007571E1"/>
    <w:rsid w:val="00757B88"/>
    <w:rsid w:val="00757E2F"/>
    <w:rsid w:val="007604B2"/>
    <w:rsid w:val="00760B26"/>
    <w:rsid w:val="0076166B"/>
    <w:rsid w:val="007619EC"/>
    <w:rsid w:val="00761EA0"/>
    <w:rsid w:val="0076200E"/>
    <w:rsid w:val="0076221D"/>
    <w:rsid w:val="0076233E"/>
    <w:rsid w:val="0076272F"/>
    <w:rsid w:val="00762883"/>
    <w:rsid w:val="00762AFD"/>
    <w:rsid w:val="00763E47"/>
    <w:rsid w:val="00763E86"/>
    <w:rsid w:val="007646E5"/>
    <w:rsid w:val="007649BA"/>
    <w:rsid w:val="00764D11"/>
    <w:rsid w:val="00765281"/>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A2"/>
    <w:rsid w:val="00772E4C"/>
    <w:rsid w:val="00772EBD"/>
    <w:rsid w:val="00773986"/>
    <w:rsid w:val="007749A8"/>
    <w:rsid w:val="00774FB1"/>
    <w:rsid w:val="007755F2"/>
    <w:rsid w:val="00776078"/>
    <w:rsid w:val="0077628D"/>
    <w:rsid w:val="00776971"/>
    <w:rsid w:val="007770A8"/>
    <w:rsid w:val="007805B8"/>
    <w:rsid w:val="00780A80"/>
    <w:rsid w:val="00780A89"/>
    <w:rsid w:val="0078115A"/>
    <w:rsid w:val="0078177E"/>
    <w:rsid w:val="00781836"/>
    <w:rsid w:val="00781981"/>
    <w:rsid w:val="00781E54"/>
    <w:rsid w:val="0078229A"/>
    <w:rsid w:val="00782E26"/>
    <w:rsid w:val="00782EA7"/>
    <w:rsid w:val="0078304C"/>
    <w:rsid w:val="0078341E"/>
    <w:rsid w:val="00783514"/>
    <w:rsid w:val="00783673"/>
    <w:rsid w:val="007841D8"/>
    <w:rsid w:val="0078531E"/>
    <w:rsid w:val="00785490"/>
    <w:rsid w:val="00785B7E"/>
    <w:rsid w:val="00785C0E"/>
    <w:rsid w:val="007860F3"/>
    <w:rsid w:val="007865A4"/>
    <w:rsid w:val="00787165"/>
    <w:rsid w:val="007901B4"/>
    <w:rsid w:val="00790F6D"/>
    <w:rsid w:val="007913C0"/>
    <w:rsid w:val="0079184A"/>
    <w:rsid w:val="00791AED"/>
    <w:rsid w:val="007923B3"/>
    <w:rsid w:val="007925EA"/>
    <w:rsid w:val="0079273F"/>
    <w:rsid w:val="00792DDA"/>
    <w:rsid w:val="007938B9"/>
    <w:rsid w:val="00793CD8"/>
    <w:rsid w:val="007941E8"/>
    <w:rsid w:val="00794370"/>
    <w:rsid w:val="00795C92"/>
    <w:rsid w:val="007961B5"/>
    <w:rsid w:val="00796231"/>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9F"/>
    <w:rsid w:val="007A2EB1"/>
    <w:rsid w:val="007A306F"/>
    <w:rsid w:val="007A3429"/>
    <w:rsid w:val="007A3628"/>
    <w:rsid w:val="007A395F"/>
    <w:rsid w:val="007A43A6"/>
    <w:rsid w:val="007A4797"/>
    <w:rsid w:val="007A4AA7"/>
    <w:rsid w:val="007A4DBE"/>
    <w:rsid w:val="007A58A6"/>
    <w:rsid w:val="007A5CC1"/>
    <w:rsid w:val="007A5E11"/>
    <w:rsid w:val="007A62AE"/>
    <w:rsid w:val="007A62B7"/>
    <w:rsid w:val="007A699D"/>
    <w:rsid w:val="007A6CF5"/>
    <w:rsid w:val="007B02CB"/>
    <w:rsid w:val="007B05D6"/>
    <w:rsid w:val="007B1179"/>
    <w:rsid w:val="007B1DF4"/>
    <w:rsid w:val="007B242B"/>
    <w:rsid w:val="007B326A"/>
    <w:rsid w:val="007B35B2"/>
    <w:rsid w:val="007B376F"/>
    <w:rsid w:val="007B3777"/>
    <w:rsid w:val="007B3D2D"/>
    <w:rsid w:val="007B4694"/>
    <w:rsid w:val="007B50AE"/>
    <w:rsid w:val="007B51DF"/>
    <w:rsid w:val="007B53DD"/>
    <w:rsid w:val="007B5530"/>
    <w:rsid w:val="007B5748"/>
    <w:rsid w:val="007B5869"/>
    <w:rsid w:val="007B5C32"/>
    <w:rsid w:val="007B5F75"/>
    <w:rsid w:val="007B6457"/>
    <w:rsid w:val="007B68A7"/>
    <w:rsid w:val="007B6CBB"/>
    <w:rsid w:val="007B781F"/>
    <w:rsid w:val="007B7EEF"/>
    <w:rsid w:val="007B7F5A"/>
    <w:rsid w:val="007C0266"/>
    <w:rsid w:val="007C02E6"/>
    <w:rsid w:val="007C05DD"/>
    <w:rsid w:val="007C0C0B"/>
    <w:rsid w:val="007C0E8E"/>
    <w:rsid w:val="007C1839"/>
    <w:rsid w:val="007C1875"/>
    <w:rsid w:val="007C1A5A"/>
    <w:rsid w:val="007C1E45"/>
    <w:rsid w:val="007C2E6C"/>
    <w:rsid w:val="007C3369"/>
    <w:rsid w:val="007C347E"/>
    <w:rsid w:val="007C3D18"/>
    <w:rsid w:val="007C5959"/>
    <w:rsid w:val="007C5FEA"/>
    <w:rsid w:val="007C60BF"/>
    <w:rsid w:val="007C6177"/>
    <w:rsid w:val="007C6558"/>
    <w:rsid w:val="007C6A07"/>
    <w:rsid w:val="007C7189"/>
    <w:rsid w:val="007C71FD"/>
    <w:rsid w:val="007C74F4"/>
    <w:rsid w:val="007C75A1"/>
    <w:rsid w:val="007C7750"/>
    <w:rsid w:val="007C77A5"/>
    <w:rsid w:val="007D0088"/>
    <w:rsid w:val="007D04E5"/>
    <w:rsid w:val="007D06DF"/>
    <w:rsid w:val="007D07BA"/>
    <w:rsid w:val="007D1408"/>
    <w:rsid w:val="007D16E2"/>
    <w:rsid w:val="007D1A03"/>
    <w:rsid w:val="007D2E4D"/>
    <w:rsid w:val="007D31CB"/>
    <w:rsid w:val="007D412E"/>
    <w:rsid w:val="007D4B22"/>
    <w:rsid w:val="007D4EC1"/>
    <w:rsid w:val="007D57BF"/>
    <w:rsid w:val="007D5901"/>
    <w:rsid w:val="007D6045"/>
    <w:rsid w:val="007D6376"/>
    <w:rsid w:val="007D6D4C"/>
    <w:rsid w:val="007D7526"/>
    <w:rsid w:val="007D75B4"/>
    <w:rsid w:val="007D77C4"/>
    <w:rsid w:val="007D7820"/>
    <w:rsid w:val="007D7A14"/>
    <w:rsid w:val="007D7BCD"/>
    <w:rsid w:val="007E01DA"/>
    <w:rsid w:val="007E03A0"/>
    <w:rsid w:val="007E0946"/>
    <w:rsid w:val="007E0C54"/>
    <w:rsid w:val="007E1075"/>
    <w:rsid w:val="007E22F3"/>
    <w:rsid w:val="007E352A"/>
    <w:rsid w:val="007E3F7C"/>
    <w:rsid w:val="007E4610"/>
    <w:rsid w:val="007E4715"/>
    <w:rsid w:val="007E4945"/>
    <w:rsid w:val="007E505B"/>
    <w:rsid w:val="007E57CB"/>
    <w:rsid w:val="007E5A61"/>
    <w:rsid w:val="007E688A"/>
    <w:rsid w:val="007E7091"/>
    <w:rsid w:val="007E7EDF"/>
    <w:rsid w:val="007F08CF"/>
    <w:rsid w:val="007F1D10"/>
    <w:rsid w:val="007F27E7"/>
    <w:rsid w:val="007F2C31"/>
    <w:rsid w:val="007F3D9C"/>
    <w:rsid w:val="007F4881"/>
    <w:rsid w:val="007F4A63"/>
    <w:rsid w:val="007F4B2D"/>
    <w:rsid w:val="007F4B9B"/>
    <w:rsid w:val="007F4D47"/>
    <w:rsid w:val="007F4DE4"/>
    <w:rsid w:val="007F4FA6"/>
    <w:rsid w:val="007F6300"/>
    <w:rsid w:val="007F654F"/>
    <w:rsid w:val="007F665B"/>
    <w:rsid w:val="007F6B7E"/>
    <w:rsid w:val="007F793A"/>
    <w:rsid w:val="007F7E75"/>
    <w:rsid w:val="00800464"/>
    <w:rsid w:val="0080060F"/>
    <w:rsid w:val="00800747"/>
    <w:rsid w:val="00801A75"/>
    <w:rsid w:val="00801AA6"/>
    <w:rsid w:val="00801E74"/>
    <w:rsid w:val="00802014"/>
    <w:rsid w:val="008027C6"/>
    <w:rsid w:val="0080287A"/>
    <w:rsid w:val="00802B53"/>
    <w:rsid w:val="00802DC4"/>
    <w:rsid w:val="008034C8"/>
    <w:rsid w:val="0080392C"/>
    <w:rsid w:val="00803C2C"/>
    <w:rsid w:val="00803FAE"/>
    <w:rsid w:val="0080551D"/>
    <w:rsid w:val="00805A16"/>
    <w:rsid w:val="00805A61"/>
    <w:rsid w:val="0080605F"/>
    <w:rsid w:val="00806C0F"/>
    <w:rsid w:val="00806CCD"/>
    <w:rsid w:val="0080761E"/>
    <w:rsid w:val="00807786"/>
    <w:rsid w:val="0081050A"/>
    <w:rsid w:val="00810777"/>
    <w:rsid w:val="00810A0E"/>
    <w:rsid w:val="008112D6"/>
    <w:rsid w:val="008113E8"/>
    <w:rsid w:val="00811809"/>
    <w:rsid w:val="00811BC9"/>
    <w:rsid w:val="00811CD7"/>
    <w:rsid w:val="00811DBA"/>
    <w:rsid w:val="00811FCB"/>
    <w:rsid w:val="008122B9"/>
    <w:rsid w:val="00812518"/>
    <w:rsid w:val="00812559"/>
    <w:rsid w:val="0081279C"/>
    <w:rsid w:val="008128BD"/>
    <w:rsid w:val="00813269"/>
    <w:rsid w:val="00814283"/>
    <w:rsid w:val="00814645"/>
    <w:rsid w:val="0081481C"/>
    <w:rsid w:val="00814DA2"/>
    <w:rsid w:val="0081527F"/>
    <w:rsid w:val="008158D6"/>
    <w:rsid w:val="00815B5D"/>
    <w:rsid w:val="00815CA7"/>
    <w:rsid w:val="00816B70"/>
    <w:rsid w:val="00817196"/>
    <w:rsid w:val="0081757A"/>
    <w:rsid w:val="008204A0"/>
    <w:rsid w:val="008208E1"/>
    <w:rsid w:val="008212A7"/>
    <w:rsid w:val="00821F6D"/>
    <w:rsid w:val="00822BA2"/>
    <w:rsid w:val="00822EC0"/>
    <w:rsid w:val="00823472"/>
    <w:rsid w:val="008235DB"/>
    <w:rsid w:val="008237B0"/>
    <w:rsid w:val="00823876"/>
    <w:rsid w:val="00823897"/>
    <w:rsid w:val="008242B5"/>
    <w:rsid w:val="008247A1"/>
    <w:rsid w:val="00824AB4"/>
    <w:rsid w:val="00825C42"/>
    <w:rsid w:val="00825D25"/>
    <w:rsid w:val="00826356"/>
    <w:rsid w:val="008263A0"/>
    <w:rsid w:val="00826AA9"/>
    <w:rsid w:val="00827142"/>
    <w:rsid w:val="00827325"/>
    <w:rsid w:val="0082787A"/>
    <w:rsid w:val="00827B8B"/>
    <w:rsid w:val="00827D6F"/>
    <w:rsid w:val="0083075F"/>
    <w:rsid w:val="008307AF"/>
    <w:rsid w:val="00830DBD"/>
    <w:rsid w:val="0083116B"/>
    <w:rsid w:val="00831199"/>
    <w:rsid w:val="008312D8"/>
    <w:rsid w:val="0083155D"/>
    <w:rsid w:val="00831A98"/>
    <w:rsid w:val="00831DA2"/>
    <w:rsid w:val="00831E7D"/>
    <w:rsid w:val="00832129"/>
    <w:rsid w:val="00832148"/>
    <w:rsid w:val="00832653"/>
    <w:rsid w:val="00833219"/>
    <w:rsid w:val="008336E8"/>
    <w:rsid w:val="00833953"/>
    <w:rsid w:val="00835923"/>
    <w:rsid w:val="008359D5"/>
    <w:rsid w:val="00835F53"/>
    <w:rsid w:val="00836173"/>
    <w:rsid w:val="008366F2"/>
    <w:rsid w:val="00836BD8"/>
    <w:rsid w:val="008376AC"/>
    <w:rsid w:val="0083789F"/>
    <w:rsid w:val="008378D2"/>
    <w:rsid w:val="00837CDB"/>
    <w:rsid w:val="00837CF4"/>
    <w:rsid w:val="00840599"/>
    <w:rsid w:val="00840647"/>
    <w:rsid w:val="0084086C"/>
    <w:rsid w:val="00841093"/>
    <w:rsid w:val="00841541"/>
    <w:rsid w:val="008416A2"/>
    <w:rsid w:val="008421A8"/>
    <w:rsid w:val="00842BCA"/>
    <w:rsid w:val="00842FFC"/>
    <w:rsid w:val="00843099"/>
    <w:rsid w:val="008434E1"/>
    <w:rsid w:val="008444E8"/>
    <w:rsid w:val="00844521"/>
    <w:rsid w:val="00844D4B"/>
    <w:rsid w:val="00844E80"/>
    <w:rsid w:val="008453B3"/>
    <w:rsid w:val="0084621E"/>
    <w:rsid w:val="0084699C"/>
    <w:rsid w:val="00846CDE"/>
    <w:rsid w:val="00846FE7"/>
    <w:rsid w:val="0084726E"/>
    <w:rsid w:val="00847745"/>
    <w:rsid w:val="008503F0"/>
    <w:rsid w:val="0085099B"/>
    <w:rsid w:val="00850CD3"/>
    <w:rsid w:val="00851DCF"/>
    <w:rsid w:val="00852862"/>
    <w:rsid w:val="0085384C"/>
    <w:rsid w:val="00853EA3"/>
    <w:rsid w:val="008540F7"/>
    <w:rsid w:val="008554D4"/>
    <w:rsid w:val="00856877"/>
    <w:rsid w:val="00856911"/>
    <w:rsid w:val="008575BF"/>
    <w:rsid w:val="00857664"/>
    <w:rsid w:val="00860009"/>
    <w:rsid w:val="008601A1"/>
    <w:rsid w:val="00860B55"/>
    <w:rsid w:val="00861994"/>
    <w:rsid w:val="00861D3D"/>
    <w:rsid w:val="00861E50"/>
    <w:rsid w:val="008620BF"/>
    <w:rsid w:val="00862487"/>
    <w:rsid w:val="008624D6"/>
    <w:rsid w:val="008627B2"/>
    <w:rsid w:val="00862B31"/>
    <w:rsid w:val="00863330"/>
    <w:rsid w:val="0086336C"/>
    <w:rsid w:val="008641D8"/>
    <w:rsid w:val="00864523"/>
    <w:rsid w:val="0086470B"/>
    <w:rsid w:val="0086477F"/>
    <w:rsid w:val="00864D9C"/>
    <w:rsid w:val="008657B6"/>
    <w:rsid w:val="00865C51"/>
    <w:rsid w:val="00865F2A"/>
    <w:rsid w:val="00866186"/>
    <w:rsid w:val="00866FC8"/>
    <w:rsid w:val="008676FD"/>
    <w:rsid w:val="008677FD"/>
    <w:rsid w:val="0086790C"/>
    <w:rsid w:val="00867BDF"/>
    <w:rsid w:val="008701ED"/>
    <w:rsid w:val="008706D4"/>
    <w:rsid w:val="008709A9"/>
    <w:rsid w:val="00870B0E"/>
    <w:rsid w:val="00870F8A"/>
    <w:rsid w:val="0087104B"/>
    <w:rsid w:val="008719A0"/>
    <w:rsid w:val="008719A4"/>
    <w:rsid w:val="00871D23"/>
    <w:rsid w:val="00872CB2"/>
    <w:rsid w:val="00872DB2"/>
    <w:rsid w:val="00872FAA"/>
    <w:rsid w:val="0087310D"/>
    <w:rsid w:val="008731FE"/>
    <w:rsid w:val="00873EC4"/>
    <w:rsid w:val="00874312"/>
    <w:rsid w:val="0087437C"/>
    <w:rsid w:val="00874ACE"/>
    <w:rsid w:val="00874D17"/>
    <w:rsid w:val="008754CD"/>
    <w:rsid w:val="00875780"/>
    <w:rsid w:val="00875CD7"/>
    <w:rsid w:val="00875FFA"/>
    <w:rsid w:val="00876B3E"/>
    <w:rsid w:val="00876B4D"/>
    <w:rsid w:val="00876BE1"/>
    <w:rsid w:val="0087779B"/>
    <w:rsid w:val="00877F18"/>
    <w:rsid w:val="00880AD1"/>
    <w:rsid w:val="00880C09"/>
    <w:rsid w:val="008810FF"/>
    <w:rsid w:val="00881840"/>
    <w:rsid w:val="00881E90"/>
    <w:rsid w:val="00882F3E"/>
    <w:rsid w:val="00883062"/>
    <w:rsid w:val="00883C12"/>
    <w:rsid w:val="0088498E"/>
    <w:rsid w:val="00884C56"/>
    <w:rsid w:val="00884F11"/>
    <w:rsid w:val="008852B9"/>
    <w:rsid w:val="00885500"/>
    <w:rsid w:val="00885A22"/>
    <w:rsid w:val="00885B79"/>
    <w:rsid w:val="008861C3"/>
    <w:rsid w:val="00886213"/>
    <w:rsid w:val="00886D0F"/>
    <w:rsid w:val="00886E55"/>
    <w:rsid w:val="00886EC2"/>
    <w:rsid w:val="0088725F"/>
    <w:rsid w:val="008878F4"/>
    <w:rsid w:val="00887BC2"/>
    <w:rsid w:val="008900FF"/>
    <w:rsid w:val="008902D0"/>
    <w:rsid w:val="008904B4"/>
    <w:rsid w:val="008904C8"/>
    <w:rsid w:val="00890969"/>
    <w:rsid w:val="00890B6A"/>
    <w:rsid w:val="00890FB2"/>
    <w:rsid w:val="0089192D"/>
    <w:rsid w:val="00891AAD"/>
    <w:rsid w:val="00891E55"/>
    <w:rsid w:val="008932A3"/>
    <w:rsid w:val="00893BBD"/>
    <w:rsid w:val="008940AB"/>
    <w:rsid w:val="008941E3"/>
    <w:rsid w:val="0089473F"/>
    <w:rsid w:val="00894A88"/>
    <w:rsid w:val="00894C1A"/>
    <w:rsid w:val="00895023"/>
    <w:rsid w:val="008951EB"/>
    <w:rsid w:val="00895386"/>
    <w:rsid w:val="00895928"/>
    <w:rsid w:val="00895939"/>
    <w:rsid w:val="00896C8D"/>
    <w:rsid w:val="0089742A"/>
    <w:rsid w:val="008975C7"/>
    <w:rsid w:val="00897690"/>
    <w:rsid w:val="00897BCC"/>
    <w:rsid w:val="008A0970"/>
    <w:rsid w:val="008A0ED2"/>
    <w:rsid w:val="008A21FF"/>
    <w:rsid w:val="008A27A4"/>
    <w:rsid w:val="008A2CE2"/>
    <w:rsid w:val="008A30AC"/>
    <w:rsid w:val="008A3F08"/>
    <w:rsid w:val="008A44B8"/>
    <w:rsid w:val="008A48F1"/>
    <w:rsid w:val="008A51A8"/>
    <w:rsid w:val="008A51AD"/>
    <w:rsid w:val="008A54C7"/>
    <w:rsid w:val="008A550B"/>
    <w:rsid w:val="008A56F6"/>
    <w:rsid w:val="008A6A49"/>
    <w:rsid w:val="008A6C71"/>
    <w:rsid w:val="008A6E9C"/>
    <w:rsid w:val="008A71FC"/>
    <w:rsid w:val="008A7424"/>
    <w:rsid w:val="008A77D8"/>
    <w:rsid w:val="008A7C2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51A0"/>
    <w:rsid w:val="008B52B0"/>
    <w:rsid w:val="008B58FB"/>
    <w:rsid w:val="008B592A"/>
    <w:rsid w:val="008B59A5"/>
    <w:rsid w:val="008B5E80"/>
    <w:rsid w:val="008B61FE"/>
    <w:rsid w:val="008B6487"/>
    <w:rsid w:val="008B6EED"/>
    <w:rsid w:val="008B74F0"/>
    <w:rsid w:val="008B76FA"/>
    <w:rsid w:val="008B7B5C"/>
    <w:rsid w:val="008C046E"/>
    <w:rsid w:val="008C0C99"/>
    <w:rsid w:val="008C0EE4"/>
    <w:rsid w:val="008C1A45"/>
    <w:rsid w:val="008C1CD5"/>
    <w:rsid w:val="008C1D03"/>
    <w:rsid w:val="008C1E30"/>
    <w:rsid w:val="008C2017"/>
    <w:rsid w:val="008C218C"/>
    <w:rsid w:val="008C234A"/>
    <w:rsid w:val="008C2A19"/>
    <w:rsid w:val="008C3B5E"/>
    <w:rsid w:val="008C46B5"/>
    <w:rsid w:val="008C4958"/>
    <w:rsid w:val="008C4BAA"/>
    <w:rsid w:val="008C50BB"/>
    <w:rsid w:val="008C563D"/>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599"/>
    <w:rsid w:val="008D29C7"/>
    <w:rsid w:val="008D30C7"/>
    <w:rsid w:val="008D33AC"/>
    <w:rsid w:val="008D34F1"/>
    <w:rsid w:val="008D35EB"/>
    <w:rsid w:val="008D3931"/>
    <w:rsid w:val="008D39D8"/>
    <w:rsid w:val="008D3CFF"/>
    <w:rsid w:val="008D3EE8"/>
    <w:rsid w:val="008D400F"/>
    <w:rsid w:val="008D4427"/>
    <w:rsid w:val="008D4443"/>
    <w:rsid w:val="008D47A4"/>
    <w:rsid w:val="008D5935"/>
    <w:rsid w:val="008D5BC3"/>
    <w:rsid w:val="008D5ED6"/>
    <w:rsid w:val="008D6D1A"/>
    <w:rsid w:val="008D7E4B"/>
    <w:rsid w:val="008E065E"/>
    <w:rsid w:val="008E0927"/>
    <w:rsid w:val="008E1909"/>
    <w:rsid w:val="008E1CED"/>
    <w:rsid w:val="008E1D1A"/>
    <w:rsid w:val="008E2E1C"/>
    <w:rsid w:val="008E35A3"/>
    <w:rsid w:val="008E3F73"/>
    <w:rsid w:val="008E4B90"/>
    <w:rsid w:val="008E50E4"/>
    <w:rsid w:val="008E5D92"/>
    <w:rsid w:val="008E6BAA"/>
    <w:rsid w:val="008E6BB9"/>
    <w:rsid w:val="008E6DF5"/>
    <w:rsid w:val="008E7001"/>
    <w:rsid w:val="008E7050"/>
    <w:rsid w:val="008E7A27"/>
    <w:rsid w:val="008F01A6"/>
    <w:rsid w:val="008F07E5"/>
    <w:rsid w:val="008F1C0C"/>
    <w:rsid w:val="008F1C4E"/>
    <w:rsid w:val="008F1EAB"/>
    <w:rsid w:val="008F220A"/>
    <w:rsid w:val="008F244C"/>
    <w:rsid w:val="008F2CAC"/>
    <w:rsid w:val="008F312C"/>
    <w:rsid w:val="008F33DC"/>
    <w:rsid w:val="008F3577"/>
    <w:rsid w:val="008F40E2"/>
    <w:rsid w:val="008F4340"/>
    <w:rsid w:val="008F44BA"/>
    <w:rsid w:val="008F46AA"/>
    <w:rsid w:val="008F477F"/>
    <w:rsid w:val="008F4CF1"/>
    <w:rsid w:val="008F68A5"/>
    <w:rsid w:val="008F6F45"/>
    <w:rsid w:val="008F7013"/>
    <w:rsid w:val="008F7B83"/>
    <w:rsid w:val="008F7CAD"/>
    <w:rsid w:val="0090011D"/>
    <w:rsid w:val="0090073D"/>
    <w:rsid w:val="0090133E"/>
    <w:rsid w:val="009015B0"/>
    <w:rsid w:val="0090192C"/>
    <w:rsid w:val="00901E6B"/>
    <w:rsid w:val="00902081"/>
    <w:rsid w:val="00902350"/>
    <w:rsid w:val="0090239D"/>
    <w:rsid w:val="009027A0"/>
    <w:rsid w:val="00902979"/>
    <w:rsid w:val="00902AA9"/>
    <w:rsid w:val="00902DD4"/>
    <w:rsid w:val="0090336B"/>
    <w:rsid w:val="00904FC1"/>
    <w:rsid w:val="0090514E"/>
    <w:rsid w:val="009053AA"/>
    <w:rsid w:val="00905A74"/>
    <w:rsid w:val="00906939"/>
    <w:rsid w:val="00906E3B"/>
    <w:rsid w:val="009070D1"/>
    <w:rsid w:val="00907215"/>
    <w:rsid w:val="009072BD"/>
    <w:rsid w:val="00907546"/>
    <w:rsid w:val="0090782F"/>
    <w:rsid w:val="00907D42"/>
    <w:rsid w:val="00910330"/>
    <w:rsid w:val="00910B7D"/>
    <w:rsid w:val="0091165E"/>
    <w:rsid w:val="00911DFB"/>
    <w:rsid w:val="009126AF"/>
    <w:rsid w:val="00913114"/>
    <w:rsid w:val="009131C5"/>
    <w:rsid w:val="009131FF"/>
    <w:rsid w:val="00913638"/>
    <w:rsid w:val="009139D9"/>
    <w:rsid w:val="00913FC0"/>
    <w:rsid w:val="00914587"/>
    <w:rsid w:val="0091497A"/>
    <w:rsid w:val="00914AD8"/>
    <w:rsid w:val="00914EDC"/>
    <w:rsid w:val="00915512"/>
    <w:rsid w:val="00916079"/>
    <w:rsid w:val="0091686D"/>
    <w:rsid w:val="009172CE"/>
    <w:rsid w:val="00917323"/>
    <w:rsid w:val="00917CE9"/>
    <w:rsid w:val="00917F23"/>
    <w:rsid w:val="00920041"/>
    <w:rsid w:val="009200CA"/>
    <w:rsid w:val="00920143"/>
    <w:rsid w:val="009208C0"/>
    <w:rsid w:val="009209C0"/>
    <w:rsid w:val="00920BF2"/>
    <w:rsid w:val="009211A6"/>
    <w:rsid w:val="009212F8"/>
    <w:rsid w:val="00921721"/>
    <w:rsid w:val="00922010"/>
    <w:rsid w:val="009223D1"/>
    <w:rsid w:val="00922671"/>
    <w:rsid w:val="00922735"/>
    <w:rsid w:val="00922898"/>
    <w:rsid w:val="009228E1"/>
    <w:rsid w:val="00922A8A"/>
    <w:rsid w:val="00923049"/>
    <w:rsid w:val="0092310C"/>
    <w:rsid w:val="00923CF5"/>
    <w:rsid w:val="0092413D"/>
    <w:rsid w:val="00925006"/>
    <w:rsid w:val="00925429"/>
    <w:rsid w:val="00925D3B"/>
    <w:rsid w:val="00925F68"/>
    <w:rsid w:val="0092679B"/>
    <w:rsid w:val="00926BB7"/>
    <w:rsid w:val="00926F07"/>
    <w:rsid w:val="00926F8A"/>
    <w:rsid w:val="00927974"/>
    <w:rsid w:val="00927AA6"/>
    <w:rsid w:val="00927C18"/>
    <w:rsid w:val="00927E84"/>
    <w:rsid w:val="00930221"/>
    <w:rsid w:val="00930340"/>
    <w:rsid w:val="0093062E"/>
    <w:rsid w:val="009311DC"/>
    <w:rsid w:val="00931B0F"/>
    <w:rsid w:val="00931B3A"/>
    <w:rsid w:val="00931BD9"/>
    <w:rsid w:val="00931D65"/>
    <w:rsid w:val="00931F11"/>
    <w:rsid w:val="00931FC7"/>
    <w:rsid w:val="009324C4"/>
    <w:rsid w:val="00932D2D"/>
    <w:rsid w:val="00932DF8"/>
    <w:rsid w:val="00933A29"/>
    <w:rsid w:val="00933A57"/>
    <w:rsid w:val="00934334"/>
    <w:rsid w:val="00934365"/>
    <w:rsid w:val="00934839"/>
    <w:rsid w:val="0093502C"/>
    <w:rsid w:val="00935133"/>
    <w:rsid w:val="00935577"/>
    <w:rsid w:val="009355C2"/>
    <w:rsid w:val="00936759"/>
    <w:rsid w:val="009368F3"/>
    <w:rsid w:val="00940587"/>
    <w:rsid w:val="00940B94"/>
    <w:rsid w:val="00940D0A"/>
    <w:rsid w:val="00940F1E"/>
    <w:rsid w:val="00940F4F"/>
    <w:rsid w:val="009415DE"/>
    <w:rsid w:val="00941636"/>
    <w:rsid w:val="00941CFE"/>
    <w:rsid w:val="00942066"/>
    <w:rsid w:val="009429C0"/>
    <w:rsid w:val="00942BB7"/>
    <w:rsid w:val="00942EEB"/>
    <w:rsid w:val="00943074"/>
    <w:rsid w:val="00943568"/>
    <w:rsid w:val="00943742"/>
    <w:rsid w:val="0094398E"/>
    <w:rsid w:val="00944E13"/>
    <w:rsid w:val="00945556"/>
    <w:rsid w:val="009456C6"/>
    <w:rsid w:val="00945AD6"/>
    <w:rsid w:val="00945C05"/>
    <w:rsid w:val="009468FF"/>
    <w:rsid w:val="00946945"/>
    <w:rsid w:val="0094722D"/>
    <w:rsid w:val="0094740A"/>
    <w:rsid w:val="00947713"/>
    <w:rsid w:val="00947F1E"/>
    <w:rsid w:val="0095012A"/>
    <w:rsid w:val="00950592"/>
    <w:rsid w:val="00950C5E"/>
    <w:rsid w:val="00950DE7"/>
    <w:rsid w:val="00950E0F"/>
    <w:rsid w:val="00951B1F"/>
    <w:rsid w:val="0095271D"/>
    <w:rsid w:val="0095306B"/>
    <w:rsid w:val="00953523"/>
    <w:rsid w:val="009538F5"/>
    <w:rsid w:val="00953920"/>
    <w:rsid w:val="00953D47"/>
    <w:rsid w:val="00953ED3"/>
    <w:rsid w:val="00954AB3"/>
    <w:rsid w:val="00955ED4"/>
    <w:rsid w:val="00956021"/>
    <w:rsid w:val="009567B4"/>
    <w:rsid w:val="0095681E"/>
    <w:rsid w:val="009572D4"/>
    <w:rsid w:val="00957C4E"/>
    <w:rsid w:val="00957C99"/>
    <w:rsid w:val="00957CC0"/>
    <w:rsid w:val="00960A1F"/>
    <w:rsid w:val="00960C4D"/>
    <w:rsid w:val="0096138E"/>
    <w:rsid w:val="00961921"/>
    <w:rsid w:val="00961EF9"/>
    <w:rsid w:val="0096201B"/>
    <w:rsid w:val="009620D3"/>
    <w:rsid w:val="00962905"/>
    <w:rsid w:val="009633B9"/>
    <w:rsid w:val="0096356B"/>
    <w:rsid w:val="009639B4"/>
    <w:rsid w:val="009640DA"/>
    <w:rsid w:val="0096430A"/>
    <w:rsid w:val="00964611"/>
    <w:rsid w:val="00965173"/>
    <w:rsid w:val="009651C1"/>
    <w:rsid w:val="0096554B"/>
    <w:rsid w:val="0096584A"/>
    <w:rsid w:val="009660F3"/>
    <w:rsid w:val="009664BF"/>
    <w:rsid w:val="0096652E"/>
    <w:rsid w:val="0096693C"/>
    <w:rsid w:val="00967899"/>
    <w:rsid w:val="00967A70"/>
    <w:rsid w:val="00967FE4"/>
    <w:rsid w:val="00970051"/>
    <w:rsid w:val="009704DA"/>
    <w:rsid w:val="00970507"/>
    <w:rsid w:val="0097054C"/>
    <w:rsid w:val="0097069F"/>
    <w:rsid w:val="009708A3"/>
    <w:rsid w:val="00970BFB"/>
    <w:rsid w:val="00970C5E"/>
    <w:rsid w:val="00970F1D"/>
    <w:rsid w:val="00971064"/>
    <w:rsid w:val="00971D73"/>
    <w:rsid w:val="00971F08"/>
    <w:rsid w:val="00972CA5"/>
    <w:rsid w:val="00974D7E"/>
    <w:rsid w:val="0097513C"/>
    <w:rsid w:val="009753D2"/>
    <w:rsid w:val="00975666"/>
    <w:rsid w:val="009756D3"/>
    <w:rsid w:val="00975CC3"/>
    <w:rsid w:val="0097603D"/>
    <w:rsid w:val="009761A6"/>
    <w:rsid w:val="00976492"/>
    <w:rsid w:val="00976949"/>
    <w:rsid w:val="00977069"/>
    <w:rsid w:val="00977F53"/>
    <w:rsid w:val="009800E8"/>
    <w:rsid w:val="00980477"/>
    <w:rsid w:val="009806E8"/>
    <w:rsid w:val="009807F0"/>
    <w:rsid w:val="00980B16"/>
    <w:rsid w:val="00980B60"/>
    <w:rsid w:val="00980DC4"/>
    <w:rsid w:val="00981191"/>
    <w:rsid w:val="00981BC4"/>
    <w:rsid w:val="00982033"/>
    <w:rsid w:val="0098286C"/>
    <w:rsid w:val="00982A71"/>
    <w:rsid w:val="00982F06"/>
    <w:rsid w:val="0098433C"/>
    <w:rsid w:val="009844BF"/>
    <w:rsid w:val="00984529"/>
    <w:rsid w:val="00984A96"/>
    <w:rsid w:val="00984CB3"/>
    <w:rsid w:val="00985253"/>
    <w:rsid w:val="009853B3"/>
    <w:rsid w:val="00985445"/>
    <w:rsid w:val="00985722"/>
    <w:rsid w:val="0098581F"/>
    <w:rsid w:val="00985A64"/>
    <w:rsid w:val="00985CB1"/>
    <w:rsid w:val="0098604F"/>
    <w:rsid w:val="00987053"/>
    <w:rsid w:val="00987CE6"/>
    <w:rsid w:val="00990119"/>
    <w:rsid w:val="009904ED"/>
    <w:rsid w:val="00990630"/>
    <w:rsid w:val="009907D3"/>
    <w:rsid w:val="00990A5D"/>
    <w:rsid w:val="00990FD9"/>
    <w:rsid w:val="009916E4"/>
    <w:rsid w:val="00991761"/>
    <w:rsid w:val="0099186E"/>
    <w:rsid w:val="009919CA"/>
    <w:rsid w:val="00992985"/>
    <w:rsid w:val="00992E1C"/>
    <w:rsid w:val="0099454B"/>
    <w:rsid w:val="00994DCA"/>
    <w:rsid w:val="00994FF3"/>
    <w:rsid w:val="00995089"/>
    <w:rsid w:val="0099547B"/>
    <w:rsid w:val="00995515"/>
    <w:rsid w:val="00995524"/>
    <w:rsid w:val="00995A7A"/>
    <w:rsid w:val="009960EC"/>
    <w:rsid w:val="00996D68"/>
    <w:rsid w:val="009970DD"/>
    <w:rsid w:val="00997245"/>
    <w:rsid w:val="009A0141"/>
    <w:rsid w:val="009A0465"/>
    <w:rsid w:val="009A0B84"/>
    <w:rsid w:val="009A0FBA"/>
    <w:rsid w:val="009A1601"/>
    <w:rsid w:val="009A197A"/>
    <w:rsid w:val="009A1CA4"/>
    <w:rsid w:val="009A1ED4"/>
    <w:rsid w:val="009A2C07"/>
    <w:rsid w:val="009A3016"/>
    <w:rsid w:val="009A3BB6"/>
    <w:rsid w:val="009A41B9"/>
    <w:rsid w:val="009A462D"/>
    <w:rsid w:val="009A4A6C"/>
    <w:rsid w:val="009A4F92"/>
    <w:rsid w:val="009A50FE"/>
    <w:rsid w:val="009A5A1C"/>
    <w:rsid w:val="009A5CBA"/>
    <w:rsid w:val="009A64A4"/>
    <w:rsid w:val="009A64D0"/>
    <w:rsid w:val="009A6F2F"/>
    <w:rsid w:val="009A74A0"/>
    <w:rsid w:val="009A7640"/>
    <w:rsid w:val="009A7AD5"/>
    <w:rsid w:val="009A7AE7"/>
    <w:rsid w:val="009A7E6D"/>
    <w:rsid w:val="009B01D0"/>
    <w:rsid w:val="009B0309"/>
    <w:rsid w:val="009B1D3F"/>
    <w:rsid w:val="009B1F30"/>
    <w:rsid w:val="009B2537"/>
    <w:rsid w:val="009B25F6"/>
    <w:rsid w:val="009B26CA"/>
    <w:rsid w:val="009B274A"/>
    <w:rsid w:val="009B365B"/>
    <w:rsid w:val="009B38F4"/>
    <w:rsid w:val="009B3AC2"/>
    <w:rsid w:val="009B406E"/>
    <w:rsid w:val="009B44AD"/>
    <w:rsid w:val="009B46D9"/>
    <w:rsid w:val="009B477D"/>
    <w:rsid w:val="009B480F"/>
    <w:rsid w:val="009B4D3E"/>
    <w:rsid w:val="009B4DF4"/>
    <w:rsid w:val="009B53C4"/>
    <w:rsid w:val="009B5475"/>
    <w:rsid w:val="009B564E"/>
    <w:rsid w:val="009B5693"/>
    <w:rsid w:val="009B572D"/>
    <w:rsid w:val="009B5ECE"/>
    <w:rsid w:val="009B6365"/>
    <w:rsid w:val="009B684E"/>
    <w:rsid w:val="009B754C"/>
    <w:rsid w:val="009B79C0"/>
    <w:rsid w:val="009B7E87"/>
    <w:rsid w:val="009C0169"/>
    <w:rsid w:val="009C0179"/>
    <w:rsid w:val="009C089C"/>
    <w:rsid w:val="009C107A"/>
    <w:rsid w:val="009C1679"/>
    <w:rsid w:val="009C2037"/>
    <w:rsid w:val="009C241D"/>
    <w:rsid w:val="009C251B"/>
    <w:rsid w:val="009C27DD"/>
    <w:rsid w:val="009C2C93"/>
    <w:rsid w:val="009C3BBB"/>
    <w:rsid w:val="009C403E"/>
    <w:rsid w:val="009C521D"/>
    <w:rsid w:val="009C5E79"/>
    <w:rsid w:val="009C605A"/>
    <w:rsid w:val="009C6D3C"/>
    <w:rsid w:val="009C6DEA"/>
    <w:rsid w:val="009C770F"/>
    <w:rsid w:val="009C781A"/>
    <w:rsid w:val="009D037C"/>
    <w:rsid w:val="009D03C8"/>
    <w:rsid w:val="009D05DA"/>
    <w:rsid w:val="009D1513"/>
    <w:rsid w:val="009D1818"/>
    <w:rsid w:val="009D2A46"/>
    <w:rsid w:val="009D48F3"/>
    <w:rsid w:val="009D4919"/>
    <w:rsid w:val="009D4FF0"/>
    <w:rsid w:val="009D5FBA"/>
    <w:rsid w:val="009D6A63"/>
    <w:rsid w:val="009D703C"/>
    <w:rsid w:val="009D718F"/>
    <w:rsid w:val="009D7AB8"/>
    <w:rsid w:val="009D7ED4"/>
    <w:rsid w:val="009E0662"/>
    <w:rsid w:val="009E068F"/>
    <w:rsid w:val="009E0FE9"/>
    <w:rsid w:val="009E1261"/>
    <w:rsid w:val="009E14E0"/>
    <w:rsid w:val="009E1690"/>
    <w:rsid w:val="009E1734"/>
    <w:rsid w:val="009E1D55"/>
    <w:rsid w:val="009E2563"/>
    <w:rsid w:val="009E35DB"/>
    <w:rsid w:val="009E360E"/>
    <w:rsid w:val="009E3B46"/>
    <w:rsid w:val="009E40BC"/>
    <w:rsid w:val="009E43A2"/>
    <w:rsid w:val="009E47A3"/>
    <w:rsid w:val="009E489F"/>
    <w:rsid w:val="009E519C"/>
    <w:rsid w:val="009E5990"/>
    <w:rsid w:val="009E5ACA"/>
    <w:rsid w:val="009E6EE1"/>
    <w:rsid w:val="009E7094"/>
    <w:rsid w:val="009E7127"/>
    <w:rsid w:val="009E7626"/>
    <w:rsid w:val="009E778B"/>
    <w:rsid w:val="009E77B2"/>
    <w:rsid w:val="009E7A49"/>
    <w:rsid w:val="009E7AA9"/>
    <w:rsid w:val="009E7D3E"/>
    <w:rsid w:val="009F0300"/>
    <w:rsid w:val="009F07E0"/>
    <w:rsid w:val="009F08F3"/>
    <w:rsid w:val="009F0984"/>
    <w:rsid w:val="009F0EDC"/>
    <w:rsid w:val="009F10C5"/>
    <w:rsid w:val="009F13B9"/>
    <w:rsid w:val="009F1654"/>
    <w:rsid w:val="009F179B"/>
    <w:rsid w:val="009F2C05"/>
    <w:rsid w:val="009F2D25"/>
    <w:rsid w:val="009F2EA0"/>
    <w:rsid w:val="009F344F"/>
    <w:rsid w:val="009F35F8"/>
    <w:rsid w:val="009F4549"/>
    <w:rsid w:val="009F47B4"/>
    <w:rsid w:val="009F51E0"/>
    <w:rsid w:val="009F51E5"/>
    <w:rsid w:val="009F5871"/>
    <w:rsid w:val="009F5BE4"/>
    <w:rsid w:val="009F6679"/>
    <w:rsid w:val="009F6B3D"/>
    <w:rsid w:val="009F73C2"/>
    <w:rsid w:val="009F781B"/>
    <w:rsid w:val="009F7DE8"/>
    <w:rsid w:val="00A001CB"/>
    <w:rsid w:val="00A0029B"/>
    <w:rsid w:val="00A00456"/>
    <w:rsid w:val="00A00EC6"/>
    <w:rsid w:val="00A014B0"/>
    <w:rsid w:val="00A01D9F"/>
    <w:rsid w:val="00A02199"/>
    <w:rsid w:val="00A02AA6"/>
    <w:rsid w:val="00A02EAF"/>
    <w:rsid w:val="00A031D8"/>
    <w:rsid w:val="00A03284"/>
    <w:rsid w:val="00A0375C"/>
    <w:rsid w:val="00A03C1B"/>
    <w:rsid w:val="00A041E4"/>
    <w:rsid w:val="00A04659"/>
    <w:rsid w:val="00A048A8"/>
    <w:rsid w:val="00A04AC4"/>
    <w:rsid w:val="00A04F49"/>
    <w:rsid w:val="00A05CEF"/>
    <w:rsid w:val="00A05F2D"/>
    <w:rsid w:val="00A0781B"/>
    <w:rsid w:val="00A0787B"/>
    <w:rsid w:val="00A07A43"/>
    <w:rsid w:val="00A105C1"/>
    <w:rsid w:val="00A1079D"/>
    <w:rsid w:val="00A1098C"/>
    <w:rsid w:val="00A10991"/>
    <w:rsid w:val="00A1158D"/>
    <w:rsid w:val="00A12390"/>
    <w:rsid w:val="00A1352A"/>
    <w:rsid w:val="00A136D1"/>
    <w:rsid w:val="00A13E54"/>
    <w:rsid w:val="00A13F97"/>
    <w:rsid w:val="00A14031"/>
    <w:rsid w:val="00A141EA"/>
    <w:rsid w:val="00A167D8"/>
    <w:rsid w:val="00A16C07"/>
    <w:rsid w:val="00A16C46"/>
    <w:rsid w:val="00A1729C"/>
    <w:rsid w:val="00A177F5"/>
    <w:rsid w:val="00A17C8B"/>
    <w:rsid w:val="00A17F63"/>
    <w:rsid w:val="00A20044"/>
    <w:rsid w:val="00A2057B"/>
    <w:rsid w:val="00A205DD"/>
    <w:rsid w:val="00A20AFE"/>
    <w:rsid w:val="00A214A7"/>
    <w:rsid w:val="00A21606"/>
    <w:rsid w:val="00A2193B"/>
    <w:rsid w:val="00A2196A"/>
    <w:rsid w:val="00A21AB7"/>
    <w:rsid w:val="00A22997"/>
    <w:rsid w:val="00A22C02"/>
    <w:rsid w:val="00A2351A"/>
    <w:rsid w:val="00A23695"/>
    <w:rsid w:val="00A23B6E"/>
    <w:rsid w:val="00A23CAB"/>
    <w:rsid w:val="00A23E4D"/>
    <w:rsid w:val="00A24C32"/>
    <w:rsid w:val="00A24E0D"/>
    <w:rsid w:val="00A25138"/>
    <w:rsid w:val="00A2552E"/>
    <w:rsid w:val="00A264A9"/>
    <w:rsid w:val="00A264C1"/>
    <w:rsid w:val="00A269EC"/>
    <w:rsid w:val="00A26C82"/>
    <w:rsid w:val="00A26DCF"/>
    <w:rsid w:val="00A26E1D"/>
    <w:rsid w:val="00A26EDC"/>
    <w:rsid w:val="00A27275"/>
    <w:rsid w:val="00A27785"/>
    <w:rsid w:val="00A30187"/>
    <w:rsid w:val="00A30538"/>
    <w:rsid w:val="00A30A03"/>
    <w:rsid w:val="00A31057"/>
    <w:rsid w:val="00A311C2"/>
    <w:rsid w:val="00A31BE7"/>
    <w:rsid w:val="00A31C6F"/>
    <w:rsid w:val="00A322B3"/>
    <w:rsid w:val="00A324CE"/>
    <w:rsid w:val="00A324F8"/>
    <w:rsid w:val="00A328B0"/>
    <w:rsid w:val="00A328E6"/>
    <w:rsid w:val="00A32C1A"/>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F61"/>
    <w:rsid w:val="00A36F75"/>
    <w:rsid w:val="00A3709A"/>
    <w:rsid w:val="00A3756E"/>
    <w:rsid w:val="00A37E31"/>
    <w:rsid w:val="00A4054E"/>
    <w:rsid w:val="00A407D2"/>
    <w:rsid w:val="00A40824"/>
    <w:rsid w:val="00A419BD"/>
    <w:rsid w:val="00A41E2B"/>
    <w:rsid w:val="00A42066"/>
    <w:rsid w:val="00A42170"/>
    <w:rsid w:val="00A44E12"/>
    <w:rsid w:val="00A45075"/>
    <w:rsid w:val="00A45404"/>
    <w:rsid w:val="00A45B10"/>
    <w:rsid w:val="00A45B74"/>
    <w:rsid w:val="00A469C0"/>
    <w:rsid w:val="00A46A07"/>
    <w:rsid w:val="00A46B7B"/>
    <w:rsid w:val="00A470FC"/>
    <w:rsid w:val="00A4761F"/>
    <w:rsid w:val="00A47D50"/>
    <w:rsid w:val="00A501FC"/>
    <w:rsid w:val="00A50787"/>
    <w:rsid w:val="00A5083F"/>
    <w:rsid w:val="00A509FE"/>
    <w:rsid w:val="00A50EF6"/>
    <w:rsid w:val="00A51174"/>
    <w:rsid w:val="00A51324"/>
    <w:rsid w:val="00A51754"/>
    <w:rsid w:val="00A51B25"/>
    <w:rsid w:val="00A51D8C"/>
    <w:rsid w:val="00A51DCF"/>
    <w:rsid w:val="00A52094"/>
    <w:rsid w:val="00A520E7"/>
    <w:rsid w:val="00A52328"/>
    <w:rsid w:val="00A523B1"/>
    <w:rsid w:val="00A529F4"/>
    <w:rsid w:val="00A52E1D"/>
    <w:rsid w:val="00A52E5C"/>
    <w:rsid w:val="00A5301A"/>
    <w:rsid w:val="00A53B84"/>
    <w:rsid w:val="00A54415"/>
    <w:rsid w:val="00A54A85"/>
    <w:rsid w:val="00A55873"/>
    <w:rsid w:val="00A55DBF"/>
    <w:rsid w:val="00A579CE"/>
    <w:rsid w:val="00A609D2"/>
    <w:rsid w:val="00A61499"/>
    <w:rsid w:val="00A61757"/>
    <w:rsid w:val="00A619BA"/>
    <w:rsid w:val="00A61AB8"/>
    <w:rsid w:val="00A61B44"/>
    <w:rsid w:val="00A61F0C"/>
    <w:rsid w:val="00A62266"/>
    <w:rsid w:val="00A62731"/>
    <w:rsid w:val="00A62A77"/>
    <w:rsid w:val="00A62D96"/>
    <w:rsid w:val="00A63483"/>
    <w:rsid w:val="00A649A4"/>
    <w:rsid w:val="00A64B28"/>
    <w:rsid w:val="00A64D39"/>
    <w:rsid w:val="00A657D7"/>
    <w:rsid w:val="00A65865"/>
    <w:rsid w:val="00A65E4F"/>
    <w:rsid w:val="00A660AC"/>
    <w:rsid w:val="00A66174"/>
    <w:rsid w:val="00A663F0"/>
    <w:rsid w:val="00A673D9"/>
    <w:rsid w:val="00A674C0"/>
    <w:rsid w:val="00A67AAA"/>
    <w:rsid w:val="00A67BDA"/>
    <w:rsid w:val="00A67E6C"/>
    <w:rsid w:val="00A706AD"/>
    <w:rsid w:val="00A708A2"/>
    <w:rsid w:val="00A711E9"/>
    <w:rsid w:val="00A71995"/>
    <w:rsid w:val="00A71B16"/>
    <w:rsid w:val="00A71B99"/>
    <w:rsid w:val="00A71F43"/>
    <w:rsid w:val="00A721C7"/>
    <w:rsid w:val="00A723C1"/>
    <w:rsid w:val="00A731CB"/>
    <w:rsid w:val="00A73654"/>
    <w:rsid w:val="00A739D0"/>
    <w:rsid w:val="00A73D47"/>
    <w:rsid w:val="00A7419B"/>
    <w:rsid w:val="00A74359"/>
    <w:rsid w:val="00A74C38"/>
    <w:rsid w:val="00A74D4E"/>
    <w:rsid w:val="00A75048"/>
    <w:rsid w:val="00A754C5"/>
    <w:rsid w:val="00A76043"/>
    <w:rsid w:val="00A76159"/>
    <w:rsid w:val="00A761D4"/>
    <w:rsid w:val="00A76457"/>
    <w:rsid w:val="00A76B59"/>
    <w:rsid w:val="00A7713D"/>
    <w:rsid w:val="00A77B08"/>
    <w:rsid w:val="00A77EC4"/>
    <w:rsid w:val="00A8085B"/>
    <w:rsid w:val="00A80C04"/>
    <w:rsid w:val="00A80DBC"/>
    <w:rsid w:val="00A819FF"/>
    <w:rsid w:val="00A81ADB"/>
    <w:rsid w:val="00A82394"/>
    <w:rsid w:val="00A824AA"/>
    <w:rsid w:val="00A82726"/>
    <w:rsid w:val="00A845EE"/>
    <w:rsid w:val="00A84630"/>
    <w:rsid w:val="00A84E0A"/>
    <w:rsid w:val="00A8556B"/>
    <w:rsid w:val="00A85E0B"/>
    <w:rsid w:val="00A8608F"/>
    <w:rsid w:val="00A86138"/>
    <w:rsid w:val="00A8628C"/>
    <w:rsid w:val="00A863C5"/>
    <w:rsid w:val="00A86AD6"/>
    <w:rsid w:val="00A86CED"/>
    <w:rsid w:val="00A8755C"/>
    <w:rsid w:val="00A8772F"/>
    <w:rsid w:val="00A8795E"/>
    <w:rsid w:val="00A87D48"/>
    <w:rsid w:val="00A90255"/>
    <w:rsid w:val="00A90290"/>
    <w:rsid w:val="00A91486"/>
    <w:rsid w:val="00A9195E"/>
    <w:rsid w:val="00A91A00"/>
    <w:rsid w:val="00A91C79"/>
    <w:rsid w:val="00A92383"/>
    <w:rsid w:val="00A923E8"/>
    <w:rsid w:val="00A9244F"/>
    <w:rsid w:val="00A92879"/>
    <w:rsid w:val="00A92994"/>
    <w:rsid w:val="00A92A24"/>
    <w:rsid w:val="00A92ACE"/>
    <w:rsid w:val="00A92F45"/>
    <w:rsid w:val="00A92F9D"/>
    <w:rsid w:val="00A93FDB"/>
    <w:rsid w:val="00A9442A"/>
    <w:rsid w:val="00A95411"/>
    <w:rsid w:val="00A96354"/>
    <w:rsid w:val="00A96F07"/>
    <w:rsid w:val="00A9718A"/>
    <w:rsid w:val="00A973C6"/>
    <w:rsid w:val="00A9766B"/>
    <w:rsid w:val="00A977C2"/>
    <w:rsid w:val="00A978C2"/>
    <w:rsid w:val="00AA016F"/>
    <w:rsid w:val="00AA155B"/>
    <w:rsid w:val="00AA1B3E"/>
    <w:rsid w:val="00AA1ED6"/>
    <w:rsid w:val="00AA1EDF"/>
    <w:rsid w:val="00AA2195"/>
    <w:rsid w:val="00AA2345"/>
    <w:rsid w:val="00AA2638"/>
    <w:rsid w:val="00AA3DDC"/>
    <w:rsid w:val="00AA4100"/>
    <w:rsid w:val="00AA4846"/>
    <w:rsid w:val="00AA51D6"/>
    <w:rsid w:val="00AA57B5"/>
    <w:rsid w:val="00AA5B37"/>
    <w:rsid w:val="00AA5E1B"/>
    <w:rsid w:val="00AA61CF"/>
    <w:rsid w:val="00AA63E3"/>
    <w:rsid w:val="00AA6A86"/>
    <w:rsid w:val="00AA6AA6"/>
    <w:rsid w:val="00AA6DEC"/>
    <w:rsid w:val="00AA7006"/>
    <w:rsid w:val="00AA75B6"/>
    <w:rsid w:val="00AA7EBB"/>
    <w:rsid w:val="00AB00F2"/>
    <w:rsid w:val="00AB0BC8"/>
    <w:rsid w:val="00AB0F56"/>
    <w:rsid w:val="00AB1118"/>
    <w:rsid w:val="00AB11CA"/>
    <w:rsid w:val="00AB14D9"/>
    <w:rsid w:val="00AB14FB"/>
    <w:rsid w:val="00AB1A8A"/>
    <w:rsid w:val="00AB1CE1"/>
    <w:rsid w:val="00AB1DA6"/>
    <w:rsid w:val="00AB20A7"/>
    <w:rsid w:val="00AB3264"/>
    <w:rsid w:val="00AB332A"/>
    <w:rsid w:val="00AB40A4"/>
    <w:rsid w:val="00AB4749"/>
    <w:rsid w:val="00AB4AB8"/>
    <w:rsid w:val="00AB5608"/>
    <w:rsid w:val="00AB655E"/>
    <w:rsid w:val="00AB660A"/>
    <w:rsid w:val="00AB6C8B"/>
    <w:rsid w:val="00AB7997"/>
    <w:rsid w:val="00AC007F"/>
    <w:rsid w:val="00AC06F2"/>
    <w:rsid w:val="00AC0BD9"/>
    <w:rsid w:val="00AC1260"/>
    <w:rsid w:val="00AC18CD"/>
    <w:rsid w:val="00AC1D94"/>
    <w:rsid w:val="00AC2739"/>
    <w:rsid w:val="00AC2D41"/>
    <w:rsid w:val="00AC2ECD"/>
    <w:rsid w:val="00AC2EE5"/>
    <w:rsid w:val="00AC3119"/>
    <w:rsid w:val="00AC3BD8"/>
    <w:rsid w:val="00AC40C2"/>
    <w:rsid w:val="00AC40E2"/>
    <w:rsid w:val="00AC49FB"/>
    <w:rsid w:val="00AC51D5"/>
    <w:rsid w:val="00AC52B2"/>
    <w:rsid w:val="00AC5315"/>
    <w:rsid w:val="00AC5504"/>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AAA"/>
    <w:rsid w:val="00AD3D2F"/>
    <w:rsid w:val="00AD3F94"/>
    <w:rsid w:val="00AD4124"/>
    <w:rsid w:val="00AD44B5"/>
    <w:rsid w:val="00AD4A5A"/>
    <w:rsid w:val="00AD5848"/>
    <w:rsid w:val="00AD5BC6"/>
    <w:rsid w:val="00AD6050"/>
    <w:rsid w:val="00AD660D"/>
    <w:rsid w:val="00AD782E"/>
    <w:rsid w:val="00AD7834"/>
    <w:rsid w:val="00AD7888"/>
    <w:rsid w:val="00AE07D4"/>
    <w:rsid w:val="00AE07F4"/>
    <w:rsid w:val="00AE09EB"/>
    <w:rsid w:val="00AE1053"/>
    <w:rsid w:val="00AE1260"/>
    <w:rsid w:val="00AE17B1"/>
    <w:rsid w:val="00AE18A4"/>
    <w:rsid w:val="00AE1C77"/>
    <w:rsid w:val="00AE27AC"/>
    <w:rsid w:val="00AE29DE"/>
    <w:rsid w:val="00AE2BE5"/>
    <w:rsid w:val="00AE2C1C"/>
    <w:rsid w:val="00AE32C4"/>
    <w:rsid w:val="00AE3CFC"/>
    <w:rsid w:val="00AE3D0A"/>
    <w:rsid w:val="00AE3E8C"/>
    <w:rsid w:val="00AE3F19"/>
    <w:rsid w:val="00AE40E0"/>
    <w:rsid w:val="00AE444E"/>
    <w:rsid w:val="00AE4B10"/>
    <w:rsid w:val="00AE4DBA"/>
    <w:rsid w:val="00AE4F07"/>
    <w:rsid w:val="00AE4F5C"/>
    <w:rsid w:val="00AE54F6"/>
    <w:rsid w:val="00AE5725"/>
    <w:rsid w:val="00AE5753"/>
    <w:rsid w:val="00AE5B0F"/>
    <w:rsid w:val="00AE5C58"/>
    <w:rsid w:val="00AE662F"/>
    <w:rsid w:val="00AE6CE8"/>
    <w:rsid w:val="00AE7A6E"/>
    <w:rsid w:val="00AE7FBF"/>
    <w:rsid w:val="00AF0FFF"/>
    <w:rsid w:val="00AF1C5D"/>
    <w:rsid w:val="00AF31AF"/>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F61"/>
    <w:rsid w:val="00B006FE"/>
    <w:rsid w:val="00B007CB"/>
    <w:rsid w:val="00B008F8"/>
    <w:rsid w:val="00B0173F"/>
    <w:rsid w:val="00B02AA9"/>
    <w:rsid w:val="00B02FA3"/>
    <w:rsid w:val="00B03093"/>
    <w:rsid w:val="00B0348E"/>
    <w:rsid w:val="00B037D1"/>
    <w:rsid w:val="00B03C21"/>
    <w:rsid w:val="00B04158"/>
    <w:rsid w:val="00B04A86"/>
    <w:rsid w:val="00B04EBA"/>
    <w:rsid w:val="00B05084"/>
    <w:rsid w:val="00B05B62"/>
    <w:rsid w:val="00B05CE6"/>
    <w:rsid w:val="00B05F7B"/>
    <w:rsid w:val="00B06DC5"/>
    <w:rsid w:val="00B07499"/>
    <w:rsid w:val="00B077B8"/>
    <w:rsid w:val="00B10644"/>
    <w:rsid w:val="00B11396"/>
    <w:rsid w:val="00B113B3"/>
    <w:rsid w:val="00B120F5"/>
    <w:rsid w:val="00B12766"/>
    <w:rsid w:val="00B12B14"/>
    <w:rsid w:val="00B133A3"/>
    <w:rsid w:val="00B133CC"/>
    <w:rsid w:val="00B13514"/>
    <w:rsid w:val="00B13798"/>
    <w:rsid w:val="00B13C5C"/>
    <w:rsid w:val="00B13C9A"/>
    <w:rsid w:val="00B1423E"/>
    <w:rsid w:val="00B14925"/>
    <w:rsid w:val="00B14F5D"/>
    <w:rsid w:val="00B15150"/>
    <w:rsid w:val="00B1532E"/>
    <w:rsid w:val="00B157F9"/>
    <w:rsid w:val="00B167C6"/>
    <w:rsid w:val="00B17809"/>
    <w:rsid w:val="00B17CCC"/>
    <w:rsid w:val="00B17D6C"/>
    <w:rsid w:val="00B20155"/>
    <w:rsid w:val="00B20256"/>
    <w:rsid w:val="00B20D09"/>
    <w:rsid w:val="00B20F24"/>
    <w:rsid w:val="00B21260"/>
    <w:rsid w:val="00B21451"/>
    <w:rsid w:val="00B2194E"/>
    <w:rsid w:val="00B228DB"/>
    <w:rsid w:val="00B22B8C"/>
    <w:rsid w:val="00B22E65"/>
    <w:rsid w:val="00B2322B"/>
    <w:rsid w:val="00B235BD"/>
    <w:rsid w:val="00B23667"/>
    <w:rsid w:val="00B23C65"/>
    <w:rsid w:val="00B24399"/>
    <w:rsid w:val="00B24CB7"/>
    <w:rsid w:val="00B25CD4"/>
    <w:rsid w:val="00B25F0A"/>
    <w:rsid w:val="00B2629E"/>
    <w:rsid w:val="00B26927"/>
    <w:rsid w:val="00B2763F"/>
    <w:rsid w:val="00B2778B"/>
    <w:rsid w:val="00B27AAC"/>
    <w:rsid w:val="00B27B9B"/>
    <w:rsid w:val="00B27DA7"/>
    <w:rsid w:val="00B300F7"/>
    <w:rsid w:val="00B30929"/>
    <w:rsid w:val="00B30B4A"/>
    <w:rsid w:val="00B30CA5"/>
    <w:rsid w:val="00B30D0E"/>
    <w:rsid w:val="00B316A7"/>
    <w:rsid w:val="00B31F91"/>
    <w:rsid w:val="00B31FC1"/>
    <w:rsid w:val="00B3291E"/>
    <w:rsid w:val="00B32EE3"/>
    <w:rsid w:val="00B33128"/>
    <w:rsid w:val="00B3359E"/>
    <w:rsid w:val="00B33749"/>
    <w:rsid w:val="00B3384A"/>
    <w:rsid w:val="00B343A1"/>
    <w:rsid w:val="00B34D12"/>
    <w:rsid w:val="00B34D94"/>
    <w:rsid w:val="00B34E7C"/>
    <w:rsid w:val="00B34FD2"/>
    <w:rsid w:val="00B350DD"/>
    <w:rsid w:val="00B354CC"/>
    <w:rsid w:val="00B35C44"/>
    <w:rsid w:val="00B36220"/>
    <w:rsid w:val="00B3673B"/>
    <w:rsid w:val="00B3696D"/>
    <w:rsid w:val="00B36A69"/>
    <w:rsid w:val="00B3729E"/>
    <w:rsid w:val="00B372AA"/>
    <w:rsid w:val="00B3730E"/>
    <w:rsid w:val="00B3743F"/>
    <w:rsid w:val="00B37649"/>
    <w:rsid w:val="00B4008C"/>
    <w:rsid w:val="00B40118"/>
    <w:rsid w:val="00B402DB"/>
    <w:rsid w:val="00B40445"/>
    <w:rsid w:val="00B406B1"/>
    <w:rsid w:val="00B40851"/>
    <w:rsid w:val="00B409E0"/>
    <w:rsid w:val="00B40DAE"/>
    <w:rsid w:val="00B411C8"/>
    <w:rsid w:val="00B41845"/>
    <w:rsid w:val="00B41888"/>
    <w:rsid w:val="00B41949"/>
    <w:rsid w:val="00B41CD7"/>
    <w:rsid w:val="00B423F0"/>
    <w:rsid w:val="00B431EC"/>
    <w:rsid w:val="00B43468"/>
    <w:rsid w:val="00B44834"/>
    <w:rsid w:val="00B44DED"/>
    <w:rsid w:val="00B45050"/>
    <w:rsid w:val="00B45793"/>
    <w:rsid w:val="00B4586E"/>
    <w:rsid w:val="00B45A52"/>
    <w:rsid w:val="00B45C17"/>
    <w:rsid w:val="00B46175"/>
    <w:rsid w:val="00B46C9B"/>
    <w:rsid w:val="00B46D5E"/>
    <w:rsid w:val="00B46F09"/>
    <w:rsid w:val="00B47BE8"/>
    <w:rsid w:val="00B5171D"/>
    <w:rsid w:val="00B519E3"/>
    <w:rsid w:val="00B5244B"/>
    <w:rsid w:val="00B527D5"/>
    <w:rsid w:val="00B53363"/>
    <w:rsid w:val="00B53930"/>
    <w:rsid w:val="00B53A62"/>
    <w:rsid w:val="00B53B3B"/>
    <w:rsid w:val="00B548B7"/>
    <w:rsid w:val="00B549F5"/>
    <w:rsid w:val="00B549FD"/>
    <w:rsid w:val="00B54A00"/>
    <w:rsid w:val="00B54C50"/>
    <w:rsid w:val="00B55186"/>
    <w:rsid w:val="00B553EF"/>
    <w:rsid w:val="00B55DD5"/>
    <w:rsid w:val="00B55FC9"/>
    <w:rsid w:val="00B568FD"/>
    <w:rsid w:val="00B56AC2"/>
    <w:rsid w:val="00B56E23"/>
    <w:rsid w:val="00B573BE"/>
    <w:rsid w:val="00B57A70"/>
    <w:rsid w:val="00B60226"/>
    <w:rsid w:val="00B603C0"/>
    <w:rsid w:val="00B605CF"/>
    <w:rsid w:val="00B6073A"/>
    <w:rsid w:val="00B607CD"/>
    <w:rsid w:val="00B609B2"/>
    <w:rsid w:val="00B60E34"/>
    <w:rsid w:val="00B62448"/>
    <w:rsid w:val="00B62875"/>
    <w:rsid w:val="00B62F73"/>
    <w:rsid w:val="00B6385F"/>
    <w:rsid w:val="00B640C4"/>
    <w:rsid w:val="00B64AC0"/>
    <w:rsid w:val="00B6599F"/>
    <w:rsid w:val="00B65FEB"/>
    <w:rsid w:val="00B6602F"/>
    <w:rsid w:val="00B664C7"/>
    <w:rsid w:val="00B666EA"/>
    <w:rsid w:val="00B66799"/>
    <w:rsid w:val="00B7060C"/>
    <w:rsid w:val="00B7079B"/>
    <w:rsid w:val="00B7080E"/>
    <w:rsid w:val="00B70D53"/>
    <w:rsid w:val="00B72B31"/>
    <w:rsid w:val="00B72C97"/>
    <w:rsid w:val="00B73085"/>
    <w:rsid w:val="00B739F6"/>
    <w:rsid w:val="00B74275"/>
    <w:rsid w:val="00B743F3"/>
    <w:rsid w:val="00B74523"/>
    <w:rsid w:val="00B747E4"/>
    <w:rsid w:val="00B748E7"/>
    <w:rsid w:val="00B74A08"/>
    <w:rsid w:val="00B74B45"/>
    <w:rsid w:val="00B756C7"/>
    <w:rsid w:val="00B75A02"/>
    <w:rsid w:val="00B75BB0"/>
    <w:rsid w:val="00B768FC"/>
    <w:rsid w:val="00B76937"/>
    <w:rsid w:val="00B77C10"/>
    <w:rsid w:val="00B80A6F"/>
    <w:rsid w:val="00B8163D"/>
    <w:rsid w:val="00B81A32"/>
    <w:rsid w:val="00B81A6C"/>
    <w:rsid w:val="00B81EC0"/>
    <w:rsid w:val="00B81FF4"/>
    <w:rsid w:val="00B82665"/>
    <w:rsid w:val="00B8266A"/>
    <w:rsid w:val="00B827F4"/>
    <w:rsid w:val="00B82CED"/>
    <w:rsid w:val="00B8357A"/>
    <w:rsid w:val="00B836DD"/>
    <w:rsid w:val="00B8392B"/>
    <w:rsid w:val="00B83EFD"/>
    <w:rsid w:val="00B84195"/>
    <w:rsid w:val="00B8458E"/>
    <w:rsid w:val="00B8475C"/>
    <w:rsid w:val="00B849D8"/>
    <w:rsid w:val="00B84A12"/>
    <w:rsid w:val="00B84CA2"/>
    <w:rsid w:val="00B85150"/>
    <w:rsid w:val="00B85235"/>
    <w:rsid w:val="00B85CE6"/>
    <w:rsid w:val="00B85DE5"/>
    <w:rsid w:val="00B85E1F"/>
    <w:rsid w:val="00B8667D"/>
    <w:rsid w:val="00B86693"/>
    <w:rsid w:val="00B8745A"/>
    <w:rsid w:val="00B877A2"/>
    <w:rsid w:val="00B879D1"/>
    <w:rsid w:val="00B90032"/>
    <w:rsid w:val="00B909C2"/>
    <w:rsid w:val="00B90DEF"/>
    <w:rsid w:val="00B90F73"/>
    <w:rsid w:val="00B91EDB"/>
    <w:rsid w:val="00B9287B"/>
    <w:rsid w:val="00B92D99"/>
    <w:rsid w:val="00B93AED"/>
    <w:rsid w:val="00B93B59"/>
    <w:rsid w:val="00B9406A"/>
    <w:rsid w:val="00B9408D"/>
    <w:rsid w:val="00B94216"/>
    <w:rsid w:val="00B942C4"/>
    <w:rsid w:val="00B9499D"/>
    <w:rsid w:val="00B94A35"/>
    <w:rsid w:val="00B94BB8"/>
    <w:rsid w:val="00B95145"/>
    <w:rsid w:val="00B9527D"/>
    <w:rsid w:val="00B956C8"/>
    <w:rsid w:val="00B9599E"/>
    <w:rsid w:val="00B96723"/>
    <w:rsid w:val="00B9696B"/>
    <w:rsid w:val="00B97484"/>
    <w:rsid w:val="00B979BA"/>
    <w:rsid w:val="00B97D8F"/>
    <w:rsid w:val="00BA076A"/>
    <w:rsid w:val="00BA0D06"/>
    <w:rsid w:val="00BA2280"/>
    <w:rsid w:val="00BA2323"/>
    <w:rsid w:val="00BA2A08"/>
    <w:rsid w:val="00BA2D58"/>
    <w:rsid w:val="00BA41E5"/>
    <w:rsid w:val="00BA43C4"/>
    <w:rsid w:val="00BA4DFD"/>
    <w:rsid w:val="00BA55EC"/>
    <w:rsid w:val="00BA56D2"/>
    <w:rsid w:val="00BA66CE"/>
    <w:rsid w:val="00BA6CF2"/>
    <w:rsid w:val="00BA6E8B"/>
    <w:rsid w:val="00BA7248"/>
    <w:rsid w:val="00BA76E0"/>
    <w:rsid w:val="00BB0320"/>
    <w:rsid w:val="00BB0625"/>
    <w:rsid w:val="00BB0D48"/>
    <w:rsid w:val="00BB100E"/>
    <w:rsid w:val="00BB16F0"/>
    <w:rsid w:val="00BB216D"/>
    <w:rsid w:val="00BB24A6"/>
    <w:rsid w:val="00BB2A25"/>
    <w:rsid w:val="00BB2C75"/>
    <w:rsid w:val="00BB2CFD"/>
    <w:rsid w:val="00BB2DEE"/>
    <w:rsid w:val="00BB32EC"/>
    <w:rsid w:val="00BB3BF1"/>
    <w:rsid w:val="00BB3D94"/>
    <w:rsid w:val="00BB42D8"/>
    <w:rsid w:val="00BB4CEF"/>
    <w:rsid w:val="00BB51E9"/>
    <w:rsid w:val="00BB5989"/>
    <w:rsid w:val="00BB60EE"/>
    <w:rsid w:val="00BB6153"/>
    <w:rsid w:val="00BB66F1"/>
    <w:rsid w:val="00BB676F"/>
    <w:rsid w:val="00BB722B"/>
    <w:rsid w:val="00BB7649"/>
    <w:rsid w:val="00BB7C16"/>
    <w:rsid w:val="00BC0035"/>
    <w:rsid w:val="00BC00CA"/>
    <w:rsid w:val="00BC0FDC"/>
    <w:rsid w:val="00BC1AF2"/>
    <w:rsid w:val="00BC251D"/>
    <w:rsid w:val="00BC29EB"/>
    <w:rsid w:val="00BC2AF5"/>
    <w:rsid w:val="00BC2C99"/>
    <w:rsid w:val="00BC3053"/>
    <w:rsid w:val="00BC37AB"/>
    <w:rsid w:val="00BC389E"/>
    <w:rsid w:val="00BC3E87"/>
    <w:rsid w:val="00BC3F78"/>
    <w:rsid w:val="00BC4230"/>
    <w:rsid w:val="00BC45C2"/>
    <w:rsid w:val="00BC4A2A"/>
    <w:rsid w:val="00BC4B40"/>
    <w:rsid w:val="00BC4D2E"/>
    <w:rsid w:val="00BC4E25"/>
    <w:rsid w:val="00BC5DEC"/>
    <w:rsid w:val="00BC6302"/>
    <w:rsid w:val="00BC66F1"/>
    <w:rsid w:val="00BC6C63"/>
    <w:rsid w:val="00BC6E64"/>
    <w:rsid w:val="00BC6EA9"/>
    <w:rsid w:val="00BC7703"/>
    <w:rsid w:val="00BC7AF3"/>
    <w:rsid w:val="00BD0629"/>
    <w:rsid w:val="00BD12EF"/>
    <w:rsid w:val="00BD287B"/>
    <w:rsid w:val="00BD2F8B"/>
    <w:rsid w:val="00BD3851"/>
    <w:rsid w:val="00BD4127"/>
    <w:rsid w:val="00BD48AC"/>
    <w:rsid w:val="00BD4D19"/>
    <w:rsid w:val="00BD5B3D"/>
    <w:rsid w:val="00BD5D20"/>
    <w:rsid w:val="00BD5F1A"/>
    <w:rsid w:val="00BD62FD"/>
    <w:rsid w:val="00BD79F6"/>
    <w:rsid w:val="00BE004B"/>
    <w:rsid w:val="00BE0346"/>
    <w:rsid w:val="00BE1085"/>
    <w:rsid w:val="00BE11E8"/>
    <w:rsid w:val="00BE1234"/>
    <w:rsid w:val="00BE1BBD"/>
    <w:rsid w:val="00BE216A"/>
    <w:rsid w:val="00BE262F"/>
    <w:rsid w:val="00BE2663"/>
    <w:rsid w:val="00BE268B"/>
    <w:rsid w:val="00BE2722"/>
    <w:rsid w:val="00BE27F5"/>
    <w:rsid w:val="00BE2FA6"/>
    <w:rsid w:val="00BE32D5"/>
    <w:rsid w:val="00BE333F"/>
    <w:rsid w:val="00BE3924"/>
    <w:rsid w:val="00BE3CA2"/>
    <w:rsid w:val="00BE3D32"/>
    <w:rsid w:val="00BE413D"/>
    <w:rsid w:val="00BE4835"/>
    <w:rsid w:val="00BE486E"/>
    <w:rsid w:val="00BE536B"/>
    <w:rsid w:val="00BE58DE"/>
    <w:rsid w:val="00BE5B5D"/>
    <w:rsid w:val="00BE6093"/>
    <w:rsid w:val="00BE60EC"/>
    <w:rsid w:val="00BE7406"/>
    <w:rsid w:val="00BE7603"/>
    <w:rsid w:val="00BF1155"/>
    <w:rsid w:val="00BF164E"/>
    <w:rsid w:val="00BF1B94"/>
    <w:rsid w:val="00BF24DC"/>
    <w:rsid w:val="00BF3208"/>
    <w:rsid w:val="00BF3279"/>
    <w:rsid w:val="00BF33D6"/>
    <w:rsid w:val="00BF3555"/>
    <w:rsid w:val="00BF4616"/>
    <w:rsid w:val="00BF4A22"/>
    <w:rsid w:val="00BF4C3F"/>
    <w:rsid w:val="00BF4C93"/>
    <w:rsid w:val="00BF5038"/>
    <w:rsid w:val="00BF7006"/>
    <w:rsid w:val="00BF74C7"/>
    <w:rsid w:val="00BF752B"/>
    <w:rsid w:val="00BF7E9D"/>
    <w:rsid w:val="00C00135"/>
    <w:rsid w:val="00C00188"/>
    <w:rsid w:val="00C005E4"/>
    <w:rsid w:val="00C00AEA"/>
    <w:rsid w:val="00C00BE4"/>
    <w:rsid w:val="00C013C1"/>
    <w:rsid w:val="00C015F1"/>
    <w:rsid w:val="00C0172A"/>
    <w:rsid w:val="00C01AF6"/>
    <w:rsid w:val="00C01BD2"/>
    <w:rsid w:val="00C01F33"/>
    <w:rsid w:val="00C02C0C"/>
    <w:rsid w:val="00C02C6E"/>
    <w:rsid w:val="00C02CC6"/>
    <w:rsid w:val="00C0337B"/>
    <w:rsid w:val="00C03963"/>
    <w:rsid w:val="00C03C53"/>
    <w:rsid w:val="00C03D14"/>
    <w:rsid w:val="00C040F7"/>
    <w:rsid w:val="00C044AB"/>
    <w:rsid w:val="00C04530"/>
    <w:rsid w:val="00C0532F"/>
    <w:rsid w:val="00C05706"/>
    <w:rsid w:val="00C06B87"/>
    <w:rsid w:val="00C07377"/>
    <w:rsid w:val="00C0787C"/>
    <w:rsid w:val="00C078B0"/>
    <w:rsid w:val="00C07C82"/>
    <w:rsid w:val="00C100DA"/>
    <w:rsid w:val="00C103D9"/>
    <w:rsid w:val="00C1040E"/>
    <w:rsid w:val="00C10478"/>
    <w:rsid w:val="00C10584"/>
    <w:rsid w:val="00C106E5"/>
    <w:rsid w:val="00C1090C"/>
    <w:rsid w:val="00C112FA"/>
    <w:rsid w:val="00C11DED"/>
    <w:rsid w:val="00C11E11"/>
    <w:rsid w:val="00C11E4F"/>
    <w:rsid w:val="00C1204D"/>
    <w:rsid w:val="00C12107"/>
    <w:rsid w:val="00C12744"/>
    <w:rsid w:val="00C12BFE"/>
    <w:rsid w:val="00C13B08"/>
    <w:rsid w:val="00C14552"/>
    <w:rsid w:val="00C1461C"/>
    <w:rsid w:val="00C14963"/>
    <w:rsid w:val="00C14B76"/>
    <w:rsid w:val="00C14D4B"/>
    <w:rsid w:val="00C14E02"/>
    <w:rsid w:val="00C154BB"/>
    <w:rsid w:val="00C159A8"/>
    <w:rsid w:val="00C15A4F"/>
    <w:rsid w:val="00C165C4"/>
    <w:rsid w:val="00C168CE"/>
    <w:rsid w:val="00C169D8"/>
    <w:rsid w:val="00C16A3C"/>
    <w:rsid w:val="00C16E7F"/>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77D"/>
    <w:rsid w:val="00C23790"/>
    <w:rsid w:val="00C239C8"/>
    <w:rsid w:val="00C23E64"/>
    <w:rsid w:val="00C23FB7"/>
    <w:rsid w:val="00C24398"/>
    <w:rsid w:val="00C247F0"/>
    <w:rsid w:val="00C25389"/>
    <w:rsid w:val="00C25D41"/>
    <w:rsid w:val="00C25D52"/>
    <w:rsid w:val="00C27407"/>
    <w:rsid w:val="00C277C8"/>
    <w:rsid w:val="00C279B5"/>
    <w:rsid w:val="00C27B65"/>
    <w:rsid w:val="00C27C45"/>
    <w:rsid w:val="00C31D88"/>
    <w:rsid w:val="00C31DAF"/>
    <w:rsid w:val="00C31F4E"/>
    <w:rsid w:val="00C320BC"/>
    <w:rsid w:val="00C32368"/>
    <w:rsid w:val="00C324B1"/>
    <w:rsid w:val="00C33514"/>
    <w:rsid w:val="00C34189"/>
    <w:rsid w:val="00C342E2"/>
    <w:rsid w:val="00C347DD"/>
    <w:rsid w:val="00C358E5"/>
    <w:rsid w:val="00C3656A"/>
    <w:rsid w:val="00C369BE"/>
    <w:rsid w:val="00C36BB9"/>
    <w:rsid w:val="00C3719D"/>
    <w:rsid w:val="00C37A36"/>
    <w:rsid w:val="00C37A69"/>
    <w:rsid w:val="00C37CB2"/>
    <w:rsid w:val="00C40FE4"/>
    <w:rsid w:val="00C412B4"/>
    <w:rsid w:val="00C4172C"/>
    <w:rsid w:val="00C41741"/>
    <w:rsid w:val="00C42189"/>
    <w:rsid w:val="00C42665"/>
    <w:rsid w:val="00C42695"/>
    <w:rsid w:val="00C42862"/>
    <w:rsid w:val="00C4351B"/>
    <w:rsid w:val="00C4389B"/>
    <w:rsid w:val="00C43B5D"/>
    <w:rsid w:val="00C4453C"/>
    <w:rsid w:val="00C44600"/>
    <w:rsid w:val="00C447FD"/>
    <w:rsid w:val="00C4533C"/>
    <w:rsid w:val="00C4547A"/>
    <w:rsid w:val="00C45989"/>
    <w:rsid w:val="00C46963"/>
    <w:rsid w:val="00C46DBD"/>
    <w:rsid w:val="00C471A3"/>
    <w:rsid w:val="00C473A5"/>
    <w:rsid w:val="00C47C70"/>
    <w:rsid w:val="00C47EC8"/>
    <w:rsid w:val="00C50B58"/>
    <w:rsid w:val="00C519F5"/>
    <w:rsid w:val="00C51C5E"/>
    <w:rsid w:val="00C52261"/>
    <w:rsid w:val="00C522E2"/>
    <w:rsid w:val="00C5248C"/>
    <w:rsid w:val="00C5255C"/>
    <w:rsid w:val="00C52F0E"/>
    <w:rsid w:val="00C5310C"/>
    <w:rsid w:val="00C53251"/>
    <w:rsid w:val="00C54995"/>
    <w:rsid w:val="00C54B71"/>
    <w:rsid w:val="00C54D41"/>
    <w:rsid w:val="00C54F19"/>
    <w:rsid w:val="00C55707"/>
    <w:rsid w:val="00C5571C"/>
    <w:rsid w:val="00C55EEB"/>
    <w:rsid w:val="00C55F37"/>
    <w:rsid w:val="00C5630B"/>
    <w:rsid w:val="00C5638D"/>
    <w:rsid w:val="00C56767"/>
    <w:rsid w:val="00C57326"/>
    <w:rsid w:val="00C60783"/>
    <w:rsid w:val="00C60B7D"/>
    <w:rsid w:val="00C60C03"/>
    <w:rsid w:val="00C612F2"/>
    <w:rsid w:val="00C61C10"/>
    <w:rsid w:val="00C61E0B"/>
    <w:rsid w:val="00C620F6"/>
    <w:rsid w:val="00C6236D"/>
    <w:rsid w:val="00C624ED"/>
    <w:rsid w:val="00C629A4"/>
    <w:rsid w:val="00C62EDD"/>
    <w:rsid w:val="00C639A3"/>
    <w:rsid w:val="00C641A3"/>
    <w:rsid w:val="00C641CA"/>
    <w:rsid w:val="00C644BE"/>
    <w:rsid w:val="00C64672"/>
    <w:rsid w:val="00C65383"/>
    <w:rsid w:val="00C6641A"/>
    <w:rsid w:val="00C671C4"/>
    <w:rsid w:val="00C67E54"/>
    <w:rsid w:val="00C700CB"/>
    <w:rsid w:val="00C70455"/>
    <w:rsid w:val="00C70697"/>
    <w:rsid w:val="00C7095F"/>
    <w:rsid w:val="00C71FC1"/>
    <w:rsid w:val="00C72093"/>
    <w:rsid w:val="00C723E3"/>
    <w:rsid w:val="00C7263A"/>
    <w:rsid w:val="00C72770"/>
    <w:rsid w:val="00C72B37"/>
    <w:rsid w:val="00C72EF4"/>
    <w:rsid w:val="00C72F1F"/>
    <w:rsid w:val="00C73E18"/>
    <w:rsid w:val="00C73E7A"/>
    <w:rsid w:val="00C7435A"/>
    <w:rsid w:val="00C7438C"/>
    <w:rsid w:val="00C744FE"/>
    <w:rsid w:val="00C74679"/>
    <w:rsid w:val="00C7471D"/>
    <w:rsid w:val="00C748DD"/>
    <w:rsid w:val="00C74B83"/>
    <w:rsid w:val="00C74BFE"/>
    <w:rsid w:val="00C75CB0"/>
    <w:rsid w:val="00C75D2F"/>
    <w:rsid w:val="00C767BE"/>
    <w:rsid w:val="00C76E3C"/>
    <w:rsid w:val="00C77E81"/>
    <w:rsid w:val="00C77F90"/>
    <w:rsid w:val="00C8045A"/>
    <w:rsid w:val="00C808E9"/>
    <w:rsid w:val="00C80A0C"/>
    <w:rsid w:val="00C81176"/>
    <w:rsid w:val="00C81293"/>
    <w:rsid w:val="00C81568"/>
    <w:rsid w:val="00C81850"/>
    <w:rsid w:val="00C82153"/>
    <w:rsid w:val="00C82628"/>
    <w:rsid w:val="00C833F2"/>
    <w:rsid w:val="00C8357E"/>
    <w:rsid w:val="00C837CF"/>
    <w:rsid w:val="00C840BD"/>
    <w:rsid w:val="00C8431E"/>
    <w:rsid w:val="00C8482C"/>
    <w:rsid w:val="00C84882"/>
    <w:rsid w:val="00C8505E"/>
    <w:rsid w:val="00C85610"/>
    <w:rsid w:val="00C857E4"/>
    <w:rsid w:val="00C85C4A"/>
    <w:rsid w:val="00C87093"/>
    <w:rsid w:val="00C872CF"/>
    <w:rsid w:val="00C878E4"/>
    <w:rsid w:val="00C9027A"/>
    <w:rsid w:val="00C9068E"/>
    <w:rsid w:val="00C9100A"/>
    <w:rsid w:val="00C91101"/>
    <w:rsid w:val="00C91F3A"/>
    <w:rsid w:val="00C92473"/>
    <w:rsid w:val="00C92E53"/>
    <w:rsid w:val="00C92F32"/>
    <w:rsid w:val="00C934C2"/>
    <w:rsid w:val="00C93713"/>
    <w:rsid w:val="00C93814"/>
    <w:rsid w:val="00C93904"/>
    <w:rsid w:val="00C93C4B"/>
    <w:rsid w:val="00C944AB"/>
    <w:rsid w:val="00C94B51"/>
    <w:rsid w:val="00C94DE9"/>
    <w:rsid w:val="00C951E4"/>
    <w:rsid w:val="00C95631"/>
    <w:rsid w:val="00C95A0D"/>
    <w:rsid w:val="00C95B40"/>
    <w:rsid w:val="00C95C3E"/>
    <w:rsid w:val="00C95EE5"/>
    <w:rsid w:val="00C963C5"/>
    <w:rsid w:val="00C96B71"/>
    <w:rsid w:val="00C9731C"/>
    <w:rsid w:val="00C979E4"/>
    <w:rsid w:val="00C97B7D"/>
    <w:rsid w:val="00C97D41"/>
    <w:rsid w:val="00C97D90"/>
    <w:rsid w:val="00CA0ADE"/>
    <w:rsid w:val="00CA158A"/>
    <w:rsid w:val="00CA1883"/>
    <w:rsid w:val="00CA1ED8"/>
    <w:rsid w:val="00CA3221"/>
    <w:rsid w:val="00CA3390"/>
    <w:rsid w:val="00CA375E"/>
    <w:rsid w:val="00CA44C8"/>
    <w:rsid w:val="00CA500D"/>
    <w:rsid w:val="00CA5167"/>
    <w:rsid w:val="00CA53B2"/>
    <w:rsid w:val="00CA5E29"/>
    <w:rsid w:val="00CA5E74"/>
    <w:rsid w:val="00CA620D"/>
    <w:rsid w:val="00CA623D"/>
    <w:rsid w:val="00CA6CAA"/>
    <w:rsid w:val="00CA7045"/>
    <w:rsid w:val="00CA7D6D"/>
    <w:rsid w:val="00CB1556"/>
    <w:rsid w:val="00CB1593"/>
    <w:rsid w:val="00CB17C5"/>
    <w:rsid w:val="00CB1F63"/>
    <w:rsid w:val="00CB2206"/>
    <w:rsid w:val="00CB2804"/>
    <w:rsid w:val="00CB2C83"/>
    <w:rsid w:val="00CB30E5"/>
    <w:rsid w:val="00CB3486"/>
    <w:rsid w:val="00CB3583"/>
    <w:rsid w:val="00CB423C"/>
    <w:rsid w:val="00CB4547"/>
    <w:rsid w:val="00CB4960"/>
    <w:rsid w:val="00CB536A"/>
    <w:rsid w:val="00CB5968"/>
    <w:rsid w:val="00CB5CA6"/>
    <w:rsid w:val="00CB5CC2"/>
    <w:rsid w:val="00CB6714"/>
    <w:rsid w:val="00CB6B3C"/>
    <w:rsid w:val="00CB6B53"/>
    <w:rsid w:val="00CB7170"/>
    <w:rsid w:val="00CB7B1F"/>
    <w:rsid w:val="00CC040E"/>
    <w:rsid w:val="00CC0489"/>
    <w:rsid w:val="00CC111F"/>
    <w:rsid w:val="00CC181A"/>
    <w:rsid w:val="00CC1A28"/>
    <w:rsid w:val="00CC1FEA"/>
    <w:rsid w:val="00CC2011"/>
    <w:rsid w:val="00CC20AF"/>
    <w:rsid w:val="00CC235B"/>
    <w:rsid w:val="00CC23C0"/>
    <w:rsid w:val="00CC2400"/>
    <w:rsid w:val="00CC25EA"/>
    <w:rsid w:val="00CC2AE3"/>
    <w:rsid w:val="00CC30B8"/>
    <w:rsid w:val="00CC30DE"/>
    <w:rsid w:val="00CC3A35"/>
    <w:rsid w:val="00CC3B99"/>
    <w:rsid w:val="00CC3BD1"/>
    <w:rsid w:val="00CC3EA0"/>
    <w:rsid w:val="00CC3F2B"/>
    <w:rsid w:val="00CC4034"/>
    <w:rsid w:val="00CC412A"/>
    <w:rsid w:val="00CC46CE"/>
    <w:rsid w:val="00CC4B54"/>
    <w:rsid w:val="00CC51EE"/>
    <w:rsid w:val="00CC7311"/>
    <w:rsid w:val="00CC7400"/>
    <w:rsid w:val="00CC7ADA"/>
    <w:rsid w:val="00CC7B45"/>
    <w:rsid w:val="00CD024A"/>
    <w:rsid w:val="00CD0865"/>
    <w:rsid w:val="00CD0C3F"/>
    <w:rsid w:val="00CD0CA9"/>
    <w:rsid w:val="00CD1188"/>
    <w:rsid w:val="00CD11EE"/>
    <w:rsid w:val="00CD1EE4"/>
    <w:rsid w:val="00CD2659"/>
    <w:rsid w:val="00CD2A3C"/>
    <w:rsid w:val="00CD2EC6"/>
    <w:rsid w:val="00CD2ED1"/>
    <w:rsid w:val="00CD2F5A"/>
    <w:rsid w:val="00CD337B"/>
    <w:rsid w:val="00CD3967"/>
    <w:rsid w:val="00CD3A48"/>
    <w:rsid w:val="00CD447B"/>
    <w:rsid w:val="00CD466E"/>
    <w:rsid w:val="00CD59B0"/>
    <w:rsid w:val="00CD7887"/>
    <w:rsid w:val="00CE0424"/>
    <w:rsid w:val="00CE097A"/>
    <w:rsid w:val="00CE0BF7"/>
    <w:rsid w:val="00CE0C12"/>
    <w:rsid w:val="00CE0E3C"/>
    <w:rsid w:val="00CE0E5B"/>
    <w:rsid w:val="00CE1466"/>
    <w:rsid w:val="00CE15A4"/>
    <w:rsid w:val="00CE1D87"/>
    <w:rsid w:val="00CE1F75"/>
    <w:rsid w:val="00CE2531"/>
    <w:rsid w:val="00CE2FC9"/>
    <w:rsid w:val="00CE365C"/>
    <w:rsid w:val="00CE484B"/>
    <w:rsid w:val="00CE4BE3"/>
    <w:rsid w:val="00CE502A"/>
    <w:rsid w:val="00CE5431"/>
    <w:rsid w:val="00CE595F"/>
    <w:rsid w:val="00CE646E"/>
    <w:rsid w:val="00CE6497"/>
    <w:rsid w:val="00CE715D"/>
    <w:rsid w:val="00CE7561"/>
    <w:rsid w:val="00CE7D67"/>
    <w:rsid w:val="00CE7E31"/>
    <w:rsid w:val="00CE7EB0"/>
    <w:rsid w:val="00CF007F"/>
    <w:rsid w:val="00CF05D4"/>
    <w:rsid w:val="00CF07CC"/>
    <w:rsid w:val="00CF0865"/>
    <w:rsid w:val="00CF0933"/>
    <w:rsid w:val="00CF0EA5"/>
    <w:rsid w:val="00CF1354"/>
    <w:rsid w:val="00CF1698"/>
    <w:rsid w:val="00CF1C48"/>
    <w:rsid w:val="00CF20C9"/>
    <w:rsid w:val="00CF24EE"/>
    <w:rsid w:val="00CF2710"/>
    <w:rsid w:val="00CF2885"/>
    <w:rsid w:val="00CF3B1F"/>
    <w:rsid w:val="00CF3BF6"/>
    <w:rsid w:val="00CF43A1"/>
    <w:rsid w:val="00CF47EF"/>
    <w:rsid w:val="00CF4829"/>
    <w:rsid w:val="00CF4F41"/>
    <w:rsid w:val="00CF5260"/>
    <w:rsid w:val="00CF531A"/>
    <w:rsid w:val="00CF6150"/>
    <w:rsid w:val="00CF625B"/>
    <w:rsid w:val="00CF63DC"/>
    <w:rsid w:val="00CF6651"/>
    <w:rsid w:val="00CF687E"/>
    <w:rsid w:val="00CF6BBF"/>
    <w:rsid w:val="00CF6FDA"/>
    <w:rsid w:val="00CF70F8"/>
    <w:rsid w:val="00D004EF"/>
    <w:rsid w:val="00D00F9E"/>
    <w:rsid w:val="00D0244E"/>
    <w:rsid w:val="00D02775"/>
    <w:rsid w:val="00D02DAD"/>
    <w:rsid w:val="00D030F7"/>
    <w:rsid w:val="00D0349B"/>
    <w:rsid w:val="00D03E26"/>
    <w:rsid w:val="00D03FAB"/>
    <w:rsid w:val="00D044EB"/>
    <w:rsid w:val="00D0467F"/>
    <w:rsid w:val="00D0517B"/>
    <w:rsid w:val="00D0596C"/>
    <w:rsid w:val="00D05973"/>
    <w:rsid w:val="00D0634C"/>
    <w:rsid w:val="00D0713C"/>
    <w:rsid w:val="00D07DFC"/>
    <w:rsid w:val="00D10249"/>
    <w:rsid w:val="00D10953"/>
    <w:rsid w:val="00D10CA0"/>
    <w:rsid w:val="00D10D6C"/>
    <w:rsid w:val="00D10DEC"/>
    <w:rsid w:val="00D113DD"/>
    <w:rsid w:val="00D115C3"/>
    <w:rsid w:val="00D11897"/>
    <w:rsid w:val="00D11B6C"/>
    <w:rsid w:val="00D12C3C"/>
    <w:rsid w:val="00D13135"/>
    <w:rsid w:val="00D13BE8"/>
    <w:rsid w:val="00D13D39"/>
    <w:rsid w:val="00D13E0F"/>
    <w:rsid w:val="00D13E4E"/>
    <w:rsid w:val="00D13ED1"/>
    <w:rsid w:val="00D14514"/>
    <w:rsid w:val="00D1491A"/>
    <w:rsid w:val="00D14A09"/>
    <w:rsid w:val="00D14D3A"/>
    <w:rsid w:val="00D14DF1"/>
    <w:rsid w:val="00D15125"/>
    <w:rsid w:val="00D15F7F"/>
    <w:rsid w:val="00D15FBC"/>
    <w:rsid w:val="00D161B5"/>
    <w:rsid w:val="00D1750E"/>
    <w:rsid w:val="00D20128"/>
    <w:rsid w:val="00D208EA"/>
    <w:rsid w:val="00D20CD3"/>
    <w:rsid w:val="00D21306"/>
    <w:rsid w:val="00D2143B"/>
    <w:rsid w:val="00D2195D"/>
    <w:rsid w:val="00D21FED"/>
    <w:rsid w:val="00D22263"/>
    <w:rsid w:val="00D22485"/>
    <w:rsid w:val="00D227E3"/>
    <w:rsid w:val="00D239A7"/>
    <w:rsid w:val="00D23F47"/>
    <w:rsid w:val="00D23FF6"/>
    <w:rsid w:val="00D250B8"/>
    <w:rsid w:val="00D254DD"/>
    <w:rsid w:val="00D256D4"/>
    <w:rsid w:val="00D25B5D"/>
    <w:rsid w:val="00D25F52"/>
    <w:rsid w:val="00D26144"/>
    <w:rsid w:val="00D261BD"/>
    <w:rsid w:val="00D262D1"/>
    <w:rsid w:val="00D26D45"/>
    <w:rsid w:val="00D30335"/>
    <w:rsid w:val="00D30F76"/>
    <w:rsid w:val="00D3105A"/>
    <w:rsid w:val="00D3106B"/>
    <w:rsid w:val="00D3112A"/>
    <w:rsid w:val="00D31363"/>
    <w:rsid w:val="00D31A95"/>
    <w:rsid w:val="00D32D64"/>
    <w:rsid w:val="00D33296"/>
    <w:rsid w:val="00D33434"/>
    <w:rsid w:val="00D339B8"/>
    <w:rsid w:val="00D34081"/>
    <w:rsid w:val="00D343B4"/>
    <w:rsid w:val="00D34626"/>
    <w:rsid w:val="00D348E9"/>
    <w:rsid w:val="00D35726"/>
    <w:rsid w:val="00D35B6B"/>
    <w:rsid w:val="00D35B8C"/>
    <w:rsid w:val="00D35EF4"/>
    <w:rsid w:val="00D35FAA"/>
    <w:rsid w:val="00D36010"/>
    <w:rsid w:val="00D3636E"/>
    <w:rsid w:val="00D36398"/>
    <w:rsid w:val="00D366DC"/>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7B8"/>
    <w:rsid w:val="00D41B12"/>
    <w:rsid w:val="00D4243E"/>
    <w:rsid w:val="00D426F0"/>
    <w:rsid w:val="00D4318F"/>
    <w:rsid w:val="00D432B5"/>
    <w:rsid w:val="00D434A3"/>
    <w:rsid w:val="00D434FF"/>
    <w:rsid w:val="00D438BF"/>
    <w:rsid w:val="00D43D1A"/>
    <w:rsid w:val="00D440F8"/>
    <w:rsid w:val="00D4479D"/>
    <w:rsid w:val="00D44A01"/>
    <w:rsid w:val="00D4548A"/>
    <w:rsid w:val="00D45A6B"/>
    <w:rsid w:val="00D45BB6"/>
    <w:rsid w:val="00D45D51"/>
    <w:rsid w:val="00D46380"/>
    <w:rsid w:val="00D46B56"/>
    <w:rsid w:val="00D504EF"/>
    <w:rsid w:val="00D50829"/>
    <w:rsid w:val="00D52362"/>
    <w:rsid w:val="00D52885"/>
    <w:rsid w:val="00D528A1"/>
    <w:rsid w:val="00D5314E"/>
    <w:rsid w:val="00D5346B"/>
    <w:rsid w:val="00D538B1"/>
    <w:rsid w:val="00D53AC8"/>
    <w:rsid w:val="00D53DAA"/>
    <w:rsid w:val="00D53EB1"/>
    <w:rsid w:val="00D546FF"/>
    <w:rsid w:val="00D552A6"/>
    <w:rsid w:val="00D555BF"/>
    <w:rsid w:val="00D55AD5"/>
    <w:rsid w:val="00D57156"/>
    <w:rsid w:val="00D571A6"/>
    <w:rsid w:val="00D57213"/>
    <w:rsid w:val="00D576CA"/>
    <w:rsid w:val="00D57A46"/>
    <w:rsid w:val="00D57AFE"/>
    <w:rsid w:val="00D57E0F"/>
    <w:rsid w:val="00D60563"/>
    <w:rsid w:val="00D6085B"/>
    <w:rsid w:val="00D60ABF"/>
    <w:rsid w:val="00D60B3A"/>
    <w:rsid w:val="00D619EE"/>
    <w:rsid w:val="00D61ABE"/>
    <w:rsid w:val="00D61AF5"/>
    <w:rsid w:val="00D6210F"/>
    <w:rsid w:val="00D6249E"/>
    <w:rsid w:val="00D624D3"/>
    <w:rsid w:val="00D62A97"/>
    <w:rsid w:val="00D63A7F"/>
    <w:rsid w:val="00D64B38"/>
    <w:rsid w:val="00D65183"/>
    <w:rsid w:val="00D652B5"/>
    <w:rsid w:val="00D6547D"/>
    <w:rsid w:val="00D656D3"/>
    <w:rsid w:val="00D66155"/>
    <w:rsid w:val="00D670A2"/>
    <w:rsid w:val="00D678B4"/>
    <w:rsid w:val="00D70375"/>
    <w:rsid w:val="00D708B0"/>
    <w:rsid w:val="00D70947"/>
    <w:rsid w:val="00D70B77"/>
    <w:rsid w:val="00D70B7C"/>
    <w:rsid w:val="00D70D93"/>
    <w:rsid w:val="00D714DC"/>
    <w:rsid w:val="00D7179A"/>
    <w:rsid w:val="00D71F0D"/>
    <w:rsid w:val="00D7359F"/>
    <w:rsid w:val="00D73A08"/>
    <w:rsid w:val="00D73E92"/>
    <w:rsid w:val="00D73F2B"/>
    <w:rsid w:val="00D7409C"/>
    <w:rsid w:val="00D74369"/>
    <w:rsid w:val="00D749D9"/>
    <w:rsid w:val="00D74A61"/>
    <w:rsid w:val="00D74FCE"/>
    <w:rsid w:val="00D75068"/>
    <w:rsid w:val="00D75594"/>
    <w:rsid w:val="00D756DF"/>
    <w:rsid w:val="00D75B3D"/>
    <w:rsid w:val="00D76C62"/>
    <w:rsid w:val="00D76CC1"/>
    <w:rsid w:val="00D77549"/>
    <w:rsid w:val="00D7757E"/>
    <w:rsid w:val="00D776E8"/>
    <w:rsid w:val="00D777DB"/>
    <w:rsid w:val="00D77B1D"/>
    <w:rsid w:val="00D77C57"/>
    <w:rsid w:val="00D77DE9"/>
    <w:rsid w:val="00D8021F"/>
    <w:rsid w:val="00D80299"/>
    <w:rsid w:val="00D80383"/>
    <w:rsid w:val="00D804A7"/>
    <w:rsid w:val="00D81765"/>
    <w:rsid w:val="00D81AA1"/>
    <w:rsid w:val="00D81BE5"/>
    <w:rsid w:val="00D81EEB"/>
    <w:rsid w:val="00D823C6"/>
    <w:rsid w:val="00D82617"/>
    <w:rsid w:val="00D829DC"/>
    <w:rsid w:val="00D82F12"/>
    <w:rsid w:val="00D82F15"/>
    <w:rsid w:val="00D8327F"/>
    <w:rsid w:val="00D83E61"/>
    <w:rsid w:val="00D84250"/>
    <w:rsid w:val="00D84B09"/>
    <w:rsid w:val="00D85AA5"/>
    <w:rsid w:val="00D86075"/>
    <w:rsid w:val="00D86CA3"/>
    <w:rsid w:val="00D87074"/>
    <w:rsid w:val="00D871CE"/>
    <w:rsid w:val="00D871F5"/>
    <w:rsid w:val="00D873D0"/>
    <w:rsid w:val="00D878FE"/>
    <w:rsid w:val="00D87C49"/>
    <w:rsid w:val="00D87C8B"/>
    <w:rsid w:val="00D87FF3"/>
    <w:rsid w:val="00D900A7"/>
    <w:rsid w:val="00D90608"/>
    <w:rsid w:val="00D90AC3"/>
    <w:rsid w:val="00D9143D"/>
    <w:rsid w:val="00D9196D"/>
    <w:rsid w:val="00D91B0F"/>
    <w:rsid w:val="00D91BE6"/>
    <w:rsid w:val="00D91C4F"/>
    <w:rsid w:val="00D91F7D"/>
    <w:rsid w:val="00D9246D"/>
    <w:rsid w:val="00D926BE"/>
    <w:rsid w:val="00D92982"/>
    <w:rsid w:val="00D92D00"/>
    <w:rsid w:val="00D92E58"/>
    <w:rsid w:val="00D92E88"/>
    <w:rsid w:val="00D92F48"/>
    <w:rsid w:val="00D93419"/>
    <w:rsid w:val="00D93587"/>
    <w:rsid w:val="00D939B4"/>
    <w:rsid w:val="00D93D7B"/>
    <w:rsid w:val="00D95182"/>
    <w:rsid w:val="00D9564F"/>
    <w:rsid w:val="00D95BF1"/>
    <w:rsid w:val="00D96A17"/>
    <w:rsid w:val="00D96C30"/>
    <w:rsid w:val="00D96D51"/>
    <w:rsid w:val="00D96ECE"/>
    <w:rsid w:val="00D9713C"/>
    <w:rsid w:val="00D975F5"/>
    <w:rsid w:val="00D9789B"/>
    <w:rsid w:val="00D97C45"/>
    <w:rsid w:val="00D97C86"/>
    <w:rsid w:val="00D97E51"/>
    <w:rsid w:val="00DA0374"/>
    <w:rsid w:val="00DA0C20"/>
    <w:rsid w:val="00DA0F44"/>
    <w:rsid w:val="00DA175E"/>
    <w:rsid w:val="00DA24B2"/>
    <w:rsid w:val="00DA2755"/>
    <w:rsid w:val="00DA2FCB"/>
    <w:rsid w:val="00DA305E"/>
    <w:rsid w:val="00DA30A6"/>
    <w:rsid w:val="00DA3A13"/>
    <w:rsid w:val="00DA3AFB"/>
    <w:rsid w:val="00DA3E58"/>
    <w:rsid w:val="00DA3F87"/>
    <w:rsid w:val="00DA3F96"/>
    <w:rsid w:val="00DA4837"/>
    <w:rsid w:val="00DA4AA9"/>
    <w:rsid w:val="00DA5417"/>
    <w:rsid w:val="00DA55F5"/>
    <w:rsid w:val="00DA56E8"/>
    <w:rsid w:val="00DA5711"/>
    <w:rsid w:val="00DA59D8"/>
    <w:rsid w:val="00DA5EA7"/>
    <w:rsid w:val="00DA66D3"/>
    <w:rsid w:val="00DA6719"/>
    <w:rsid w:val="00DA6D53"/>
    <w:rsid w:val="00DA751E"/>
    <w:rsid w:val="00DA7881"/>
    <w:rsid w:val="00DA79E5"/>
    <w:rsid w:val="00DA7CDD"/>
    <w:rsid w:val="00DA7EF6"/>
    <w:rsid w:val="00DB0786"/>
    <w:rsid w:val="00DB0A9F"/>
    <w:rsid w:val="00DB0B47"/>
    <w:rsid w:val="00DB1188"/>
    <w:rsid w:val="00DB14CF"/>
    <w:rsid w:val="00DB19EE"/>
    <w:rsid w:val="00DB25BB"/>
    <w:rsid w:val="00DB314E"/>
    <w:rsid w:val="00DB377D"/>
    <w:rsid w:val="00DB3E54"/>
    <w:rsid w:val="00DB4110"/>
    <w:rsid w:val="00DB453E"/>
    <w:rsid w:val="00DB560A"/>
    <w:rsid w:val="00DB5CEF"/>
    <w:rsid w:val="00DB5E33"/>
    <w:rsid w:val="00DB66C5"/>
    <w:rsid w:val="00DB741C"/>
    <w:rsid w:val="00DB75D9"/>
    <w:rsid w:val="00DB7F0A"/>
    <w:rsid w:val="00DC0408"/>
    <w:rsid w:val="00DC11DA"/>
    <w:rsid w:val="00DC18D1"/>
    <w:rsid w:val="00DC19AA"/>
    <w:rsid w:val="00DC1F58"/>
    <w:rsid w:val="00DC2785"/>
    <w:rsid w:val="00DC2D36"/>
    <w:rsid w:val="00DC35DC"/>
    <w:rsid w:val="00DC37E8"/>
    <w:rsid w:val="00DC38DC"/>
    <w:rsid w:val="00DC499F"/>
    <w:rsid w:val="00DC4E04"/>
    <w:rsid w:val="00DC5299"/>
    <w:rsid w:val="00DC53EF"/>
    <w:rsid w:val="00DC55D1"/>
    <w:rsid w:val="00DC5FCB"/>
    <w:rsid w:val="00DC657E"/>
    <w:rsid w:val="00DC65F7"/>
    <w:rsid w:val="00DC6D45"/>
    <w:rsid w:val="00DC6F42"/>
    <w:rsid w:val="00DC7003"/>
    <w:rsid w:val="00DC7247"/>
    <w:rsid w:val="00DC7B6A"/>
    <w:rsid w:val="00DC7C4B"/>
    <w:rsid w:val="00DC7DC3"/>
    <w:rsid w:val="00DD0268"/>
    <w:rsid w:val="00DD0429"/>
    <w:rsid w:val="00DD046A"/>
    <w:rsid w:val="00DD0AE2"/>
    <w:rsid w:val="00DD11BB"/>
    <w:rsid w:val="00DD1749"/>
    <w:rsid w:val="00DD2C53"/>
    <w:rsid w:val="00DD36DB"/>
    <w:rsid w:val="00DD42C6"/>
    <w:rsid w:val="00DD4325"/>
    <w:rsid w:val="00DD495C"/>
    <w:rsid w:val="00DD4E59"/>
    <w:rsid w:val="00DD4FD3"/>
    <w:rsid w:val="00DD5898"/>
    <w:rsid w:val="00DD5C62"/>
    <w:rsid w:val="00DD5E07"/>
    <w:rsid w:val="00DD6103"/>
    <w:rsid w:val="00DD7B50"/>
    <w:rsid w:val="00DD7F37"/>
    <w:rsid w:val="00DD7F97"/>
    <w:rsid w:val="00DD7FB5"/>
    <w:rsid w:val="00DE03E6"/>
    <w:rsid w:val="00DE0439"/>
    <w:rsid w:val="00DE0B33"/>
    <w:rsid w:val="00DE0F8B"/>
    <w:rsid w:val="00DE1369"/>
    <w:rsid w:val="00DE13A9"/>
    <w:rsid w:val="00DE1CC7"/>
    <w:rsid w:val="00DE24E6"/>
    <w:rsid w:val="00DE2848"/>
    <w:rsid w:val="00DE2CF3"/>
    <w:rsid w:val="00DE34C4"/>
    <w:rsid w:val="00DE3FB7"/>
    <w:rsid w:val="00DE4A50"/>
    <w:rsid w:val="00DE5206"/>
    <w:rsid w:val="00DE523A"/>
    <w:rsid w:val="00DE55AC"/>
    <w:rsid w:val="00DE5608"/>
    <w:rsid w:val="00DE58D0"/>
    <w:rsid w:val="00DE5CE1"/>
    <w:rsid w:val="00DE5D10"/>
    <w:rsid w:val="00DE5E41"/>
    <w:rsid w:val="00DE654F"/>
    <w:rsid w:val="00DE682D"/>
    <w:rsid w:val="00DE6C13"/>
    <w:rsid w:val="00DE767D"/>
    <w:rsid w:val="00DE7B99"/>
    <w:rsid w:val="00DE7C4C"/>
    <w:rsid w:val="00DF002D"/>
    <w:rsid w:val="00DF01F0"/>
    <w:rsid w:val="00DF068A"/>
    <w:rsid w:val="00DF06C8"/>
    <w:rsid w:val="00DF0B6E"/>
    <w:rsid w:val="00DF0E7D"/>
    <w:rsid w:val="00DF11D4"/>
    <w:rsid w:val="00DF15E0"/>
    <w:rsid w:val="00DF207F"/>
    <w:rsid w:val="00DF2211"/>
    <w:rsid w:val="00DF323C"/>
    <w:rsid w:val="00DF3761"/>
    <w:rsid w:val="00DF37A0"/>
    <w:rsid w:val="00DF40A4"/>
    <w:rsid w:val="00DF4E01"/>
    <w:rsid w:val="00DF5085"/>
    <w:rsid w:val="00DF5B3C"/>
    <w:rsid w:val="00DF5C95"/>
    <w:rsid w:val="00DF5DE2"/>
    <w:rsid w:val="00DF648F"/>
    <w:rsid w:val="00DF6D47"/>
    <w:rsid w:val="00DF7380"/>
    <w:rsid w:val="00DF74BE"/>
    <w:rsid w:val="00E00A71"/>
    <w:rsid w:val="00E00D01"/>
    <w:rsid w:val="00E012EF"/>
    <w:rsid w:val="00E0166E"/>
    <w:rsid w:val="00E0196E"/>
    <w:rsid w:val="00E01C9A"/>
    <w:rsid w:val="00E0236B"/>
    <w:rsid w:val="00E0251B"/>
    <w:rsid w:val="00E02E71"/>
    <w:rsid w:val="00E0377A"/>
    <w:rsid w:val="00E03813"/>
    <w:rsid w:val="00E04F6C"/>
    <w:rsid w:val="00E058A0"/>
    <w:rsid w:val="00E05C75"/>
    <w:rsid w:val="00E05CD2"/>
    <w:rsid w:val="00E061F8"/>
    <w:rsid w:val="00E062B9"/>
    <w:rsid w:val="00E0677A"/>
    <w:rsid w:val="00E06E16"/>
    <w:rsid w:val="00E101D2"/>
    <w:rsid w:val="00E110E7"/>
    <w:rsid w:val="00E11228"/>
    <w:rsid w:val="00E11B20"/>
    <w:rsid w:val="00E12127"/>
    <w:rsid w:val="00E12327"/>
    <w:rsid w:val="00E125E0"/>
    <w:rsid w:val="00E12842"/>
    <w:rsid w:val="00E12875"/>
    <w:rsid w:val="00E14BFF"/>
    <w:rsid w:val="00E15AAD"/>
    <w:rsid w:val="00E16570"/>
    <w:rsid w:val="00E1691A"/>
    <w:rsid w:val="00E17DD8"/>
    <w:rsid w:val="00E17FA2"/>
    <w:rsid w:val="00E2090F"/>
    <w:rsid w:val="00E21099"/>
    <w:rsid w:val="00E217BF"/>
    <w:rsid w:val="00E21837"/>
    <w:rsid w:val="00E21AC7"/>
    <w:rsid w:val="00E22169"/>
    <w:rsid w:val="00E22330"/>
    <w:rsid w:val="00E226D9"/>
    <w:rsid w:val="00E22EDA"/>
    <w:rsid w:val="00E22F8A"/>
    <w:rsid w:val="00E241EE"/>
    <w:rsid w:val="00E245EE"/>
    <w:rsid w:val="00E247E9"/>
    <w:rsid w:val="00E25CCF"/>
    <w:rsid w:val="00E26167"/>
    <w:rsid w:val="00E262F2"/>
    <w:rsid w:val="00E26943"/>
    <w:rsid w:val="00E26CB7"/>
    <w:rsid w:val="00E272D4"/>
    <w:rsid w:val="00E3032B"/>
    <w:rsid w:val="00E305B0"/>
    <w:rsid w:val="00E30B5A"/>
    <w:rsid w:val="00E30E5F"/>
    <w:rsid w:val="00E30F36"/>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5C24"/>
    <w:rsid w:val="00E36C2C"/>
    <w:rsid w:val="00E36EF9"/>
    <w:rsid w:val="00E3723A"/>
    <w:rsid w:val="00E374D4"/>
    <w:rsid w:val="00E37860"/>
    <w:rsid w:val="00E379D8"/>
    <w:rsid w:val="00E40099"/>
    <w:rsid w:val="00E4014C"/>
    <w:rsid w:val="00E40473"/>
    <w:rsid w:val="00E40BA9"/>
    <w:rsid w:val="00E41073"/>
    <w:rsid w:val="00E41712"/>
    <w:rsid w:val="00E41735"/>
    <w:rsid w:val="00E422E4"/>
    <w:rsid w:val="00E4262C"/>
    <w:rsid w:val="00E42DFA"/>
    <w:rsid w:val="00E43457"/>
    <w:rsid w:val="00E43F44"/>
    <w:rsid w:val="00E44493"/>
    <w:rsid w:val="00E4462B"/>
    <w:rsid w:val="00E446F1"/>
    <w:rsid w:val="00E44BA9"/>
    <w:rsid w:val="00E45049"/>
    <w:rsid w:val="00E45145"/>
    <w:rsid w:val="00E4540C"/>
    <w:rsid w:val="00E4551D"/>
    <w:rsid w:val="00E45522"/>
    <w:rsid w:val="00E459F9"/>
    <w:rsid w:val="00E45C72"/>
    <w:rsid w:val="00E45FD0"/>
    <w:rsid w:val="00E46645"/>
    <w:rsid w:val="00E466A3"/>
    <w:rsid w:val="00E46886"/>
    <w:rsid w:val="00E46B19"/>
    <w:rsid w:val="00E46B9C"/>
    <w:rsid w:val="00E4761E"/>
    <w:rsid w:val="00E476B8"/>
    <w:rsid w:val="00E47AEF"/>
    <w:rsid w:val="00E47E98"/>
    <w:rsid w:val="00E504D1"/>
    <w:rsid w:val="00E50D8C"/>
    <w:rsid w:val="00E51BD8"/>
    <w:rsid w:val="00E51E1A"/>
    <w:rsid w:val="00E53469"/>
    <w:rsid w:val="00E53B75"/>
    <w:rsid w:val="00E5434B"/>
    <w:rsid w:val="00E54934"/>
    <w:rsid w:val="00E54950"/>
    <w:rsid w:val="00E54A45"/>
    <w:rsid w:val="00E54E3B"/>
    <w:rsid w:val="00E551D0"/>
    <w:rsid w:val="00E555AE"/>
    <w:rsid w:val="00E559F0"/>
    <w:rsid w:val="00E55A70"/>
    <w:rsid w:val="00E55AF0"/>
    <w:rsid w:val="00E55F21"/>
    <w:rsid w:val="00E567A4"/>
    <w:rsid w:val="00E5680C"/>
    <w:rsid w:val="00E56938"/>
    <w:rsid w:val="00E56B30"/>
    <w:rsid w:val="00E57565"/>
    <w:rsid w:val="00E577A5"/>
    <w:rsid w:val="00E6018F"/>
    <w:rsid w:val="00E6043F"/>
    <w:rsid w:val="00E60851"/>
    <w:rsid w:val="00E60E73"/>
    <w:rsid w:val="00E6180E"/>
    <w:rsid w:val="00E6280C"/>
    <w:rsid w:val="00E628A1"/>
    <w:rsid w:val="00E62C11"/>
    <w:rsid w:val="00E63838"/>
    <w:rsid w:val="00E63C1B"/>
    <w:rsid w:val="00E642D8"/>
    <w:rsid w:val="00E64434"/>
    <w:rsid w:val="00E6470C"/>
    <w:rsid w:val="00E651E2"/>
    <w:rsid w:val="00E653F5"/>
    <w:rsid w:val="00E659A6"/>
    <w:rsid w:val="00E66400"/>
    <w:rsid w:val="00E66993"/>
    <w:rsid w:val="00E67628"/>
    <w:rsid w:val="00E67B52"/>
    <w:rsid w:val="00E67C51"/>
    <w:rsid w:val="00E70033"/>
    <w:rsid w:val="00E709C3"/>
    <w:rsid w:val="00E70C67"/>
    <w:rsid w:val="00E7108E"/>
    <w:rsid w:val="00E714EC"/>
    <w:rsid w:val="00E71DD5"/>
    <w:rsid w:val="00E728EF"/>
    <w:rsid w:val="00E72EFC"/>
    <w:rsid w:val="00E732B3"/>
    <w:rsid w:val="00E73586"/>
    <w:rsid w:val="00E7380B"/>
    <w:rsid w:val="00E74410"/>
    <w:rsid w:val="00E745F1"/>
    <w:rsid w:val="00E74842"/>
    <w:rsid w:val="00E7547F"/>
    <w:rsid w:val="00E758EC"/>
    <w:rsid w:val="00E76258"/>
    <w:rsid w:val="00E7631F"/>
    <w:rsid w:val="00E76548"/>
    <w:rsid w:val="00E76553"/>
    <w:rsid w:val="00E76604"/>
    <w:rsid w:val="00E766E1"/>
    <w:rsid w:val="00E767DC"/>
    <w:rsid w:val="00E76987"/>
    <w:rsid w:val="00E76BA3"/>
    <w:rsid w:val="00E7745F"/>
    <w:rsid w:val="00E77484"/>
    <w:rsid w:val="00E77DAF"/>
    <w:rsid w:val="00E800A1"/>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73CC"/>
    <w:rsid w:val="00E87822"/>
    <w:rsid w:val="00E87C9C"/>
    <w:rsid w:val="00E90395"/>
    <w:rsid w:val="00E90E49"/>
    <w:rsid w:val="00E917F9"/>
    <w:rsid w:val="00E91886"/>
    <w:rsid w:val="00E91B88"/>
    <w:rsid w:val="00E9291C"/>
    <w:rsid w:val="00E92F62"/>
    <w:rsid w:val="00E93DA5"/>
    <w:rsid w:val="00E93FFE"/>
    <w:rsid w:val="00E9412B"/>
    <w:rsid w:val="00E94B57"/>
    <w:rsid w:val="00E94F8A"/>
    <w:rsid w:val="00E951D6"/>
    <w:rsid w:val="00E953E4"/>
    <w:rsid w:val="00E954A3"/>
    <w:rsid w:val="00E95654"/>
    <w:rsid w:val="00E958F9"/>
    <w:rsid w:val="00E96ABC"/>
    <w:rsid w:val="00E96C23"/>
    <w:rsid w:val="00E97097"/>
    <w:rsid w:val="00E97223"/>
    <w:rsid w:val="00E97E40"/>
    <w:rsid w:val="00E97FFA"/>
    <w:rsid w:val="00EA0A6E"/>
    <w:rsid w:val="00EA1330"/>
    <w:rsid w:val="00EA15F4"/>
    <w:rsid w:val="00EA1ACC"/>
    <w:rsid w:val="00EA1C44"/>
    <w:rsid w:val="00EA2104"/>
    <w:rsid w:val="00EA2A00"/>
    <w:rsid w:val="00EA3512"/>
    <w:rsid w:val="00EA4CF6"/>
    <w:rsid w:val="00EA4E77"/>
    <w:rsid w:val="00EA55F9"/>
    <w:rsid w:val="00EA57C5"/>
    <w:rsid w:val="00EA5C6C"/>
    <w:rsid w:val="00EA5CEB"/>
    <w:rsid w:val="00EA63C3"/>
    <w:rsid w:val="00EA6651"/>
    <w:rsid w:val="00EA6DC3"/>
    <w:rsid w:val="00EA70DC"/>
    <w:rsid w:val="00EA78D4"/>
    <w:rsid w:val="00EA7A19"/>
    <w:rsid w:val="00EA7A41"/>
    <w:rsid w:val="00EA7E1C"/>
    <w:rsid w:val="00EB077B"/>
    <w:rsid w:val="00EB0EBF"/>
    <w:rsid w:val="00EB1A19"/>
    <w:rsid w:val="00EB1E53"/>
    <w:rsid w:val="00EB2544"/>
    <w:rsid w:val="00EB2562"/>
    <w:rsid w:val="00EB2960"/>
    <w:rsid w:val="00EB347C"/>
    <w:rsid w:val="00EB3F72"/>
    <w:rsid w:val="00EB46F6"/>
    <w:rsid w:val="00EB4A31"/>
    <w:rsid w:val="00EB4BB5"/>
    <w:rsid w:val="00EB4EA2"/>
    <w:rsid w:val="00EB5DF7"/>
    <w:rsid w:val="00EB645E"/>
    <w:rsid w:val="00EB64A7"/>
    <w:rsid w:val="00EB64C3"/>
    <w:rsid w:val="00EB66DB"/>
    <w:rsid w:val="00EB6AE7"/>
    <w:rsid w:val="00EB6EE5"/>
    <w:rsid w:val="00EB6FDB"/>
    <w:rsid w:val="00EB76CB"/>
    <w:rsid w:val="00EB776A"/>
    <w:rsid w:val="00EB7AD7"/>
    <w:rsid w:val="00EB7E04"/>
    <w:rsid w:val="00EC052D"/>
    <w:rsid w:val="00EC0A9A"/>
    <w:rsid w:val="00EC0DE3"/>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6CA4"/>
    <w:rsid w:val="00EC71CE"/>
    <w:rsid w:val="00EC795F"/>
    <w:rsid w:val="00EC7A3C"/>
    <w:rsid w:val="00EC7A60"/>
    <w:rsid w:val="00ED02B8"/>
    <w:rsid w:val="00ED0DF5"/>
    <w:rsid w:val="00ED0FA8"/>
    <w:rsid w:val="00ED1006"/>
    <w:rsid w:val="00ED11DD"/>
    <w:rsid w:val="00ED1644"/>
    <w:rsid w:val="00ED1D44"/>
    <w:rsid w:val="00ED2769"/>
    <w:rsid w:val="00ED29EA"/>
    <w:rsid w:val="00ED314F"/>
    <w:rsid w:val="00ED31F8"/>
    <w:rsid w:val="00ED3915"/>
    <w:rsid w:val="00ED43F6"/>
    <w:rsid w:val="00ED5329"/>
    <w:rsid w:val="00ED565A"/>
    <w:rsid w:val="00ED5A6E"/>
    <w:rsid w:val="00ED5EC8"/>
    <w:rsid w:val="00ED5F71"/>
    <w:rsid w:val="00ED5FEE"/>
    <w:rsid w:val="00ED60D7"/>
    <w:rsid w:val="00ED6579"/>
    <w:rsid w:val="00ED6E7E"/>
    <w:rsid w:val="00ED7C83"/>
    <w:rsid w:val="00ED7D47"/>
    <w:rsid w:val="00ED7E04"/>
    <w:rsid w:val="00ED7EDC"/>
    <w:rsid w:val="00EE021B"/>
    <w:rsid w:val="00EE0D0A"/>
    <w:rsid w:val="00EE11F0"/>
    <w:rsid w:val="00EE1DE7"/>
    <w:rsid w:val="00EE259D"/>
    <w:rsid w:val="00EE280C"/>
    <w:rsid w:val="00EE2E29"/>
    <w:rsid w:val="00EE3262"/>
    <w:rsid w:val="00EE32FA"/>
    <w:rsid w:val="00EE33FC"/>
    <w:rsid w:val="00EE34D3"/>
    <w:rsid w:val="00EE4339"/>
    <w:rsid w:val="00EE457C"/>
    <w:rsid w:val="00EE6737"/>
    <w:rsid w:val="00EE6A4F"/>
    <w:rsid w:val="00EE728D"/>
    <w:rsid w:val="00EE731C"/>
    <w:rsid w:val="00EE7B91"/>
    <w:rsid w:val="00EE7BB0"/>
    <w:rsid w:val="00EE7D53"/>
    <w:rsid w:val="00EE7ED2"/>
    <w:rsid w:val="00EF04AE"/>
    <w:rsid w:val="00EF0811"/>
    <w:rsid w:val="00EF09BF"/>
    <w:rsid w:val="00EF0BF2"/>
    <w:rsid w:val="00EF0BFD"/>
    <w:rsid w:val="00EF0FD9"/>
    <w:rsid w:val="00EF108D"/>
    <w:rsid w:val="00EF15BC"/>
    <w:rsid w:val="00EF18FE"/>
    <w:rsid w:val="00EF1B82"/>
    <w:rsid w:val="00EF1FD8"/>
    <w:rsid w:val="00EF2A78"/>
    <w:rsid w:val="00EF3AFC"/>
    <w:rsid w:val="00EF3CE4"/>
    <w:rsid w:val="00EF3E17"/>
    <w:rsid w:val="00EF3EEC"/>
    <w:rsid w:val="00EF433D"/>
    <w:rsid w:val="00EF44F1"/>
    <w:rsid w:val="00EF5787"/>
    <w:rsid w:val="00EF5CBC"/>
    <w:rsid w:val="00EF609B"/>
    <w:rsid w:val="00EF60D0"/>
    <w:rsid w:val="00EF6FFF"/>
    <w:rsid w:val="00EF71DD"/>
    <w:rsid w:val="00EF75D3"/>
    <w:rsid w:val="00EF76B1"/>
    <w:rsid w:val="00EF7B6A"/>
    <w:rsid w:val="00EF7C1C"/>
    <w:rsid w:val="00EF7C7D"/>
    <w:rsid w:val="00EF7F7F"/>
    <w:rsid w:val="00F00184"/>
    <w:rsid w:val="00F00233"/>
    <w:rsid w:val="00F00437"/>
    <w:rsid w:val="00F00B2C"/>
    <w:rsid w:val="00F00D1C"/>
    <w:rsid w:val="00F00ECC"/>
    <w:rsid w:val="00F01159"/>
    <w:rsid w:val="00F01189"/>
    <w:rsid w:val="00F01E94"/>
    <w:rsid w:val="00F01EC0"/>
    <w:rsid w:val="00F02504"/>
    <w:rsid w:val="00F030D4"/>
    <w:rsid w:val="00F03250"/>
    <w:rsid w:val="00F03533"/>
    <w:rsid w:val="00F0373D"/>
    <w:rsid w:val="00F0399D"/>
    <w:rsid w:val="00F04087"/>
    <w:rsid w:val="00F04D6B"/>
    <w:rsid w:val="00F0528D"/>
    <w:rsid w:val="00F069F7"/>
    <w:rsid w:val="00F06C67"/>
    <w:rsid w:val="00F06DFD"/>
    <w:rsid w:val="00F071D1"/>
    <w:rsid w:val="00F07533"/>
    <w:rsid w:val="00F076D1"/>
    <w:rsid w:val="00F078B8"/>
    <w:rsid w:val="00F07BE1"/>
    <w:rsid w:val="00F10629"/>
    <w:rsid w:val="00F11176"/>
    <w:rsid w:val="00F1182B"/>
    <w:rsid w:val="00F12431"/>
    <w:rsid w:val="00F12563"/>
    <w:rsid w:val="00F129DE"/>
    <w:rsid w:val="00F12CAD"/>
    <w:rsid w:val="00F1344C"/>
    <w:rsid w:val="00F13F68"/>
    <w:rsid w:val="00F1425E"/>
    <w:rsid w:val="00F147D2"/>
    <w:rsid w:val="00F14CDA"/>
    <w:rsid w:val="00F14E55"/>
    <w:rsid w:val="00F15159"/>
    <w:rsid w:val="00F1562F"/>
    <w:rsid w:val="00F15996"/>
    <w:rsid w:val="00F15FA5"/>
    <w:rsid w:val="00F16588"/>
    <w:rsid w:val="00F16C98"/>
    <w:rsid w:val="00F16CCD"/>
    <w:rsid w:val="00F16DD1"/>
    <w:rsid w:val="00F16E7F"/>
    <w:rsid w:val="00F17554"/>
    <w:rsid w:val="00F178D3"/>
    <w:rsid w:val="00F17D98"/>
    <w:rsid w:val="00F17F5E"/>
    <w:rsid w:val="00F200AB"/>
    <w:rsid w:val="00F209B7"/>
    <w:rsid w:val="00F20A20"/>
    <w:rsid w:val="00F20A21"/>
    <w:rsid w:val="00F21237"/>
    <w:rsid w:val="00F2168B"/>
    <w:rsid w:val="00F21742"/>
    <w:rsid w:val="00F2177A"/>
    <w:rsid w:val="00F21F34"/>
    <w:rsid w:val="00F21FC3"/>
    <w:rsid w:val="00F22BD5"/>
    <w:rsid w:val="00F23336"/>
    <w:rsid w:val="00F2376F"/>
    <w:rsid w:val="00F238CA"/>
    <w:rsid w:val="00F243B0"/>
    <w:rsid w:val="00F243D8"/>
    <w:rsid w:val="00F249AC"/>
    <w:rsid w:val="00F24C55"/>
    <w:rsid w:val="00F25017"/>
    <w:rsid w:val="00F2502B"/>
    <w:rsid w:val="00F25AA0"/>
    <w:rsid w:val="00F260A9"/>
    <w:rsid w:val="00F274D1"/>
    <w:rsid w:val="00F27843"/>
    <w:rsid w:val="00F27F0E"/>
    <w:rsid w:val="00F27FE2"/>
    <w:rsid w:val="00F30828"/>
    <w:rsid w:val="00F3086B"/>
    <w:rsid w:val="00F30C26"/>
    <w:rsid w:val="00F30EB0"/>
    <w:rsid w:val="00F313D6"/>
    <w:rsid w:val="00F316F8"/>
    <w:rsid w:val="00F3206F"/>
    <w:rsid w:val="00F3232C"/>
    <w:rsid w:val="00F333B7"/>
    <w:rsid w:val="00F3396A"/>
    <w:rsid w:val="00F33D16"/>
    <w:rsid w:val="00F33FF8"/>
    <w:rsid w:val="00F340F0"/>
    <w:rsid w:val="00F34CF2"/>
    <w:rsid w:val="00F353CC"/>
    <w:rsid w:val="00F35991"/>
    <w:rsid w:val="00F35DDA"/>
    <w:rsid w:val="00F36616"/>
    <w:rsid w:val="00F3676D"/>
    <w:rsid w:val="00F36F44"/>
    <w:rsid w:val="00F36FA6"/>
    <w:rsid w:val="00F36FE6"/>
    <w:rsid w:val="00F4009B"/>
    <w:rsid w:val="00F400E3"/>
    <w:rsid w:val="00F402DE"/>
    <w:rsid w:val="00F40506"/>
    <w:rsid w:val="00F40895"/>
    <w:rsid w:val="00F40977"/>
    <w:rsid w:val="00F40EDF"/>
    <w:rsid w:val="00F40F0C"/>
    <w:rsid w:val="00F4162B"/>
    <w:rsid w:val="00F41C28"/>
    <w:rsid w:val="00F41E1B"/>
    <w:rsid w:val="00F421AE"/>
    <w:rsid w:val="00F4226C"/>
    <w:rsid w:val="00F43C36"/>
    <w:rsid w:val="00F43D4B"/>
    <w:rsid w:val="00F43E2F"/>
    <w:rsid w:val="00F43E32"/>
    <w:rsid w:val="00F44CC0"/>
    <w:rsid w:val="00F45173"/>
    <w:rsid w:val="00F4578F"/>
    <w:rsid w:val="00F468E9"/>
    <w:rsid w:val="00F46EF1"/>
    <w:rsid w:val="00F4757D"/>
    <w:rsid w:val="00F4766C"/>
    <w:rsid w:val="00F47695"/>
    <w:rsid w:val="00F47C04"/>
    <w:rsid w:val="00F47D0F"/>
    <w:rsid w:val="00F47F68"/>
    <w:rsid w:val="00F5060E"/>
    <w:rsid w:val="00F507D1"/>
    <w:rsid w:val="00F50C74"/>
    <w:rsid w:val="00F50DEC"/>
    <w:rsid w:val="00F511C3"/>
    <w:rsid w:val="00F51253"/>
    <w:rsid w:val="00F519CE"/>
    <w:rsid w:val="00F51ADA"/>
    <w:rsid w:val="00F51B6E"/>
    <w:rsid w:val="00F51CAE"/>
    <w:rsid w:val="00F51D77"/>
    <w:rsid w:val="00F5386D"/>
    <w:rsid w:val="00F5594B"/>
    <w:rsid w:val="00F55BDD"/>
    <w:rsid w:val="00F562D0"/>
    <w:rsid w:val="00F56388"/>
    <w:rsid w:val="00F56E25"/>
    <w:rsid w:val="00F57B39"/>
    <w:rsid w:val="00F60203"/>
    <w:rsid w:val="00F607C5"/>
    <w:rsid w:val="00F60AF3"/>
    <w:rsid w:val="00F60B62"/>
    <w:rsid w:val="00F60DEA"/>
    <w:rsid w:val="00F619FF"/>
    <w:rsid w:val="00F61BEA"/>
    <w:rsid w:val="00F621A5"/>
    <w:rsid w:val="00F623A4"/>
    <w:rsid w:val="00F62954"/>
    <w:rsid w:val="00F6302A"/>
    <w:rsid w:val="00F63335"/>
    <w:rsid w:val="00F63950"/>
    <w:rsid w:val="00F63E38"/>
    <w:rsid w:val="00F64133"/>
    <w:rsid w:val="00F643F2"/>
    <w:rsid w:val="00F6456F"/>
    <w:rsid w:val="00F64707"/>
    <w:rsid w:val="00F64C2B"/>
    <w:rsid w:val="00F6518D"/>
    <w:rsid w:val="00F651BE"/>
    <w:rsid w:val="00F65531"/>
    <w:rsid w:val="00F6574D"/>
    <w:rsid w:val="00F667A5"/>
    <w:rsid w:val="00F66814"/>
    <w:rsid w:val="00F66875"/>
    <w:rsid w:val="00F66B53"/>
    <w:rsid w:val="00F66F3A"/>
    <w:rsid w:val="00F67719"/>
    <w:rsid w:val="00F67A61"/>
    <w:rsid w:val="00F67ACD"/>
    <w:rsid w:val="00F67AFF"/>
    <w:rsid w:val="00F67D74"/>
    <w:rsid w:val="00F67E0B"/>
    <w:rsid w:val="00F67F53"/>
    <w:rsid w:val="00F703BE"/>
    <w:rsid w:val="00F70870"/>
    <w:rsid w:val="00F70A85"/>
    <w:rsid w:val="00F71116"/>
    <w:rsid w:val="00F71F69"/>
    <w:rsid w:val="00F72128"/>
    <w:rsid w:val="00F725E2"/>
    <w:rsid w:val="00F72A4C"/>
    <w:rsid w:val="00F72B72"/>
    <w:rsid w:val="00F73610"/>
    <w:rsid w:val="00F738F6"/>
    <w:rsid w:val="00F73D37"/>
    <w:rsid w:val="00F73FD4"/>
    <w:rsid w:val="00F740B5"/>
    <w:rsid w:val="00F740CD"/>
    <w:rsid w:val="00F74A0C"/>
    <w:rsid w:val="00F74AD7"/>
    <w:rsid w:val="00F74BB9"/>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7D9"/>
    <w:rsid w:val="00F8456C"/>
    <w:rsid w:val="00F84798"/>
    <w:rsid w:val="00F853DF"/>
    <w:rsid w:val="00F856A7"/>
    <w:rsid w:val="00F8572F"/>
    <w:rsid w:val="00F859D8"/>
    <w:rsid w:val="00F863AF"/>
    <w:rsid w:val="00F8678E"/>
    <w:rsid w:val="00F868F5"/>
    <w:rsid w:val="00F86BC2"/>
    <w:rsid w:val="00F87877"/>
    <w:rsid w:val="00F901AD"/>
    <w:rsid w:val="00F904AD"/>
    <w:rsid w:val="00F9056A"/>
    <w:rsid w:val="00F9064B"/>
    <w:rsid w:val="00F909D2"/>
    <w:rsid w:val="00F90B15"/>
    <w:rsid w:val="00F90F8D"/>
    <w:rsid w:val="00F91982"/>
    <w:rsid w:val="00F91C89"/>
    <w:rsid w:val="00F91E2A"/>
    <w:rsid w:val="00F92047"/>
    <w:rsid w:val="00F92782"/>
    <w:rsid w:val="00F93AA9"/>
    <w:rsid w:val="00F93BE2"/>
    <w:rsid w:val="00F93C16"/>
    <w:rsid w:val="00F940BD"/>
    <w:rsid w:val="00F9444B"/>
    <w:rsid w:val="00F949E0"/>
    <w:rsid w:val="00F94E18"/>
    <w:rsid w:val="00F94F64"/>
    <w:rsid w:val="00F9542D"/>
    <w:rsid w:val="00F95613"/>
    <w:rsid w:val="00F960B0"/>
    <w:rsid w:val="00F963E1"/>
    <w:rsid w:val="00F96985"/>
    <w:rsid w:val="00F96D99"/>
    <w:rsid w:val="00F9726B"/>
    <w:rsid w:val="00F97838"/>
    <w:rsid w:val="00F97EFC"/>
    <w:rsid w:val="00F97F10"/>
    <w:rsid w:val="00F97F75"/>
    <w:rsid w:val="00FA082F"/>
    <w:rsid w:val="00FA1BF8"/>
    <w:rsid w:val="00FA1CD8"/>
    <w:rsid w:val="00FA29E6"/>
    <w:rsid w:val="00FA2BB3"/>
    <w:rsid w:val="00FA317C"/>
    <w:rsid w:val="00FA33FF"/>
    <w:rsid w:val="00FA3914"/>
    <w:rsid w:val="00FA39E7"/>
    <w:rsid w:val="00FA3D46"/>
    <w:rsid w:val="00FA4186"/>
    <w:rsid w:val="00FA4CAA"/>
    <w:rsid w:val="00FA52D7"/>
    <w:rsid w:val="00FA62CF"/>
    <w:rsid w:val="00FA66A8"/>
    <w:rsid w:val="00FA6A75"/>
    <w:rsid w:val="00FA6CE1"/>
    <w:rsid w:val="00FA7867"/>
    <w:rsid w:val="00FA7D3B"/>
    <w:rsid w:val="00FB019F"/>
    <w:rsid w:val="00FB10AA"/>
    <w:rsid w:val="00FB145F"/>
    <w:rsid w:val="00FB1740"/>
    <w:rsid w:val="00FB1BBD"/>
    <w:rsid w:val="00FB25A4"/>
    <w:rsid w:val="00FB2D17"/>
    <w:rsid w:val="00FB300A"/>
    <w:rsid w:val="00FB302A"/>
    <w:rsid w:val="00FB3199"/>
    <w:rsid w:val="00FB4036"/>
    <w:rsid w:val="00FB406A"/>
    <w:rsid w:val="00FB40EF"/>
    <w:rsid w:val="00FB434D"/>
    <w:rsid w:val="00FB47C1"/>
    <w:rsid w:val="00FB4A6C"/>
    <w:rsid w:val="00FB4C80"/>
    <w:rsid w:val="00FB5320"/>
    <w:rsid w:val="00FB673B"/>
    <w:rsid w:val="00FB6A6A"/>
    <w:rsid w:val="00FB702D"/>
    <w:rsid w:val="00FB7EC9"/>
    <w:rsid w:val="00FC011C"/>
    <w:rsid w:val="00FC0981"/>
    <w:rsid w:val="00FC31AE"/>
    <w:rsid w:val="00FC35BF"/>
    <w:rsid w:val="00FC415D"/>
    <w:rsid w:val="00FC43C3"/>
    <w:rsid w:val="00FC4C31"/>
    <w:rsid w:val="00FC4CA0"/>
    <w:rsid w:val="00FC5CFE"/>
    <w:rsid w:val="00FC5E34"/>
    <w:rsid w:val="00FC66FF"/>
    <w:rsid w:val="00FC6B40"/>
    <w:rsid w:val="00FC6CDE"/>
    <w:rsid w:val="00FC7099"/>
    <w:rsid w:val="00FC71B4"/>
    <w:rsid w:val="00FC7218"/>
    <w:rsid w:val="00FC7429"/>
    <w:rsid w:val="00FC7893"/>
    <w:rsid w:val="00FC7CA2"/>
    <w:rsid w:val="00FD076F"/>
    <w:rsid w:val="00FD07F6"/>
    <w:rsid w:val="00FD1D4F"/>
    <w:rsid w:val="00FD1EC8"/>
    <w:rsid w:val="00FD2494"/>
    <w:rsid w:val="00FD2D08"/>
    <w:rsid w:val="00FD2D9E"/>
    <w:rsid w:val="00FD45CC"/>
    <w:rsid w:val="00FD47ED"/>
    <w:rsid w:val="00FD4931"/>
    <w:rsid w:val="00FD4B10"/>
    <w:rsid w:val="00FD52A9"/>
    <w:rsid w:val="00FD579F"/>
    <w:rsid w:val="00FD5805"/>
    <w:rsid w:val="00FD5AB5"/>
    <w:rsid w:val="00FD5F40"/>
    <w:rsid w:val="00FD6026"/>
    <w:rsid w:val="00FD69C4"/>
    <w:rsid w:val="00FD7050"/>
    <w:rsid w:val="00FD732A"/>
    <w:rsid w:val="00FD74DB"/>
    <w:rsid w:val="00FD7660"/>
    <w:rsid w:val="00FE054C"/>
    <w:rsid w:val="00FE0655"/>
    <w:rsid w:val="00FE0A8B"/>
    <w:rsid w:val="00FE0A9B"/>
    <w:rsid w:val="00FE0B24"/>
    <w:rsid w:val="00FE0E2B"/>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EE6"/>
    <w:rsid w:val="00FE6780"/>
    <w:rsid w:val="00FE67D8"/>
    <w:rsid w:val="00FE7336"/>
    <w:rsid w:val="00FE787C"/>
    <w:rsid w:val="00FE7A36"/>
    <w:rsid w:val="00FE7FD8"/>
    <w:rsid w:val="00FF0D3D"/>
    <w:rsid w:val="00FF0E60"/>
    <w:rsid w:val="00FF1199"/>
    <w:rsid w:val="00FF2207"/>
    <w:rsid w:val="00FF273C"/>
    <w:rsid w:val="00FF27FB"/>
    <w:rsid w:val="00FF291C"/>
    <w:rsid w:val="00FF3004"/>
    <w:rsid w:val="00FF38A3"/>
    <w:rsid w:val="00FF3C8F"/>
    <w:rsid w:val="00FF3E64"/>
    <w:rsid w:val="00FF4197"/>
    <w:rsid w:val="00FF45A5"/>
    <w:rsid w:val="00FF460F"/>
    <w:rsid w:val="00FF497F"/>
    <w:rsid w:val="00FF4B8D"/>
    <w:rsid w:val="00FF4BBB"/>
    <w:rsid w:val="00FF5214"/>
    <w:rsid w:val="00FF5C91"/>
    <w:rsid w:val="00FF67CD"/>
    <w:rsid w:val="00FF6F71"/>
    <w:rsid w:val="00FF6F9D"/>
    <w:rsid w:val="00FF70F5"/>
    <w:rsid w:val="00FF7510"/>
    <w:rsid w:val="00FF7596"/>
    <w:rsid w:val="03BDBC84"/>
    <w:rsid w:val="04F8CF6F"/>
    <w:rsid w:val="2B985DB2"/>
    <w:rsid w:val="2DD5D81F"/>
    <w:rsid w:val="2DE754A3"/>
    <w:rsid w:val="2F3878CB"/>
    <w:rsid w:val="2F98B499"/>
    <w:rsid w:val="47684657"/>
    <w:rsid w:val="4A4D8C6C"/>
    <w:rsid w:val="4CAC3A4D"/>
    <w:rsid w:val="552F6B58"/>
    <w:rsid w:val="5738DBA4"/>
    <w:rsid w:val="5F83D14C"/>
    <w:rsid w:val="61B8CCFB"/>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246B1881"/>
  <w15:chartTrackingRefBased/>
  <w15:docId w15:val="{A3ADB2E8-0DA0-4708-A267-992327E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uiPriority w:val="99"/>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09-e/Docs/R1-2205473.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9-e/Docs/R1-2204080.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59A3E42A-4D6E-41B4-BCE1-836BA6F39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0A84D9-A239-48BB-9EF8-246DD26FA435}">
  <ds:schemaRefs>
    <ds:schemaRef ds:uri="http://www.w3.org/XML/1998/namespace"/>
    <ds:schemaRef ds:uri="http://schemas.microsoft.com/office/2006/documentManagement/types"/>
    <ds:schemaRef ds:uri="http://schemas.microsoft.com/sharepoint/v3"/>
    <ds:schemaRef ds:uri="http://purl.org/dc/elements/1.1/"/>
    <ds:schemaRef ds:uri="http://schemas.microsoft.com/office/infopath/2007/PartnerControls"/>
    <ds:schemaRef ds:uri="2f282d3b-eb4a-4b09-b61f-b9593442e286"/>
    <ds:schemaRef ds:uri="http://schemas.openxmlformats.org/package/2006/metadata/core-properties"/>
    <ds:schemaRef ds:uri="d8762117-8292-4133-b1c7-eab5c6487cfd"/>
    <ds:schemaRef ds:uri="9b239327-9e80-40e4-b1b7-4394fed77a33"/>
    <ds:schemaRef ds:uri="http://schemas.microsoft.com/office/2006/metadata/properties"/>
    <ds:schemaRef ds:uri="http://purl.org/dc/dcmitype/"/>
    <ds:schemaRef ds:uri="http://purl.org/dc/terms/"/>
  </ds:schemaRefs>
</ds:datastoreItem>
</file>

<file path=customXml/itemProps4.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4092</TotalTime>
  <Pages>14</Pages>
  <Words>7174</Words>
  <Characters>39105</Characters>
  <Application>Microsoft Office Word</Application>
  <DocSecurity>0</DocSecurity>
  <Lines>325</Lines>
  <Paragraphs>92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439</cp:revision>
  <cp:lastPrinted>2008-01-30T22:09:00Z</cp:lastPrinted>
  <dcterms:created xsi:type="dcterms:W3CDTF">2020-12-21T14:11:00Z</dcterms:created>
  <dcterms:modified xsi:type="dcterms:W3CDTF">2022-08-12T20:24:00Z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